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715BC" w14:textId="58AF5FCB" w:rsidR="009F44AD" w:rsidRDefault="009F44AD" w:rsidP="009F44AD">
      <w:pPr>
        <w:pStyle w:val="3GPPHeader"/>
        <w:spacing w:after="60"/>
      </w:pPr>
      <w:r>
        <w:t>3G</w:t>
      </w:r>
      <w:r w:rsidR="008B4F46">
        <w:t xml:space="preserve">PP TSG-RAN WG2 NR AH1801 </w:t>
      </w:r>
      <w:r w:rsidR="008B4F46">
        <w:tab/>
      </w:r>
      <w:r>
        <w:t>R2-</w:t>
      </w:r>
      <w:r w:rsidR="00DE2F58" w:rsidRPr="00DE2F58">
        <w:t xml:space="preserve">1801024 </w:t>
      </w:r>
    </w:p>
    <w:p w14:paraId="656715BD" w14:textId="49D571F7" w:rsidR="00280DD1" w:rsidRDefault="009F44AD" w:rsidP="009F44AD">
      <w:pPr>
        <w:pStyle w:val="3GPPHeader"/>
        <w:spacing w:after="60"/>
      </w:pPr>
      <w:r>
        <w:t>Vancouver, Canada, 22</w:t>
      </w:r>
      <w:r w:rsidR="0018049E" w:rsidRPr="0018049E">
        <w:rPr>
          <w:vertAlign w:val="superscript"/>
        </w:rPr>
        <w:t>nd</w:t>
      </w:r>
      <w:r w:rsidR="0018049E">
        <w:t xml:space="preserve"> </w:t>
      </w:r>
      <w:r>
        <w:t>– 26</w:t>
      </w:r>
      <w:r w:rsidRPr="0018049E">
        <w:rPr>
          <w:vertAlign w:val="superscript"/>
        </w:rPr>
        <w:t>th</w:t>
      </w:r>
      <w:r w:rsidR="0018049E">
        <w:t xml:space="preserve"> Jan</w:t>
      </w:r>
      <w:r>
        <w:t xml:space="preserve">, 2018 </w:t>
      </w:r>
    </w:p>
    <w:p w14:paraId="656715BE" w14:textId="77777777" w:rsidR="00E90E49" w:rsidRPr="00CE0424" w:rsidRDefault="00E90E49" w:rsidP="00357380">
      <w:pPr>
        <w:pStyle w:val="3GPPHeader"/>
      </w:pPr>
    </w:p>
    <w:p w14:paraId="656715BF" w14:textId="43CB9145" w:rsidR="00E90E49" w:rsidRPr="00C43D56" w:rsidRDefault="00E90E49" w:rsidP="00311702">
      <w:pPr>
        <w:pStyle w:val="3GPPHeader"/>
        <w:rPr>
          <w:sz w:val="22"/>
          <w:szCs w:val="22"/>
          <w:lang w:val="en-US"/>
        </w:rPr>
      </w:pPr>
      <w:r w:rsidRPr="00C43D56">
        <w:rPr>
          <w:sz w:val="22"/>
          <w:szCs w:val="22"/>
          <w:lang w:val="en-US"/>
        </w:rPr>
        <w:t>Agenda Item:</w:t>
      </w:r>
      <w:r w:rsidRPr="00C43D56">
        <w:rPr>
          <w:sz w:val="22"/>
          <w:szCs w:val="22"/>
          <w:lang w:val="en-US"/>
        </w:rPr>
        <w:tab/>
      </w:r>
      <w:r w:rsidR="008B4F46" w:rsidRPr="00C43D56">
        <w:rPr>
          <w:sz w:val="22"/>
          <w:szCs w:val="22"/>
          <w:lang w:val="en-US"/>
        </w:rPr>
        <w:t>11.1</w:t>
      </w:r>
    </w:p>
    <w:p w14:paraId="656715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6715C1"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BB4E84">
        <w:rPr>
          <w:sz w:val="22"/>
          <w:szCs w:val="22"/>
        </w:rPr>
        <w:t>Duplexing in IAB</w:t>
      </w:r>
    </w:p>
    <w:p w14:paraId="656715C2" w14:textId="77777777" w:rsidR="00E90E49" w:rsidRDefault="00E90E49" w:rsidP="00D546FF">
      <w:pPr>
        <w:pStyle w:val="3GPPHeader"/>
        <w:rPr>
          <w:sz w:val="22"/>
          <w:szCs w:val="22"/>
        </w:rPr>
      </w:pPr>
      <w:r w:rsidRPr="008B4F46">
        <w:rPr>
          <w:sz w:val="22"/>
          <w:szCs w:val="22"/>
        </w:rPr>
        <w:t>Document for:</w:t>
      </w:r>
      <w:r w:rsidRPr="008B4F46">
        <w:rPr>
          <w:sz w:val="22"/>
          <w:szCs w:val="22"/>
        </w:rPr>
        <w:tab/>
        <w:t>Discussion, Decision</w:t>
      </w:r>
    </w:p>
    <w:p w14:paraId="656715C8" w14:textId="77777777" w:rsidR="00293088" w:rsidRDefault="00293088" w:rsidP="00293088">
      <w:pPr>
        <w:pStyle w:val="Heading1"/>
      </w:pPr>
      <w:bookmarkStart w:id="0" w:name="_Ref178064866"/>
      <w:r w:rsidRPr="00CE0424">
        <w:t>Introduction</w:t>
      </w:r>
    </w:p>
    <w:p w14:paraId="656715C9" w14:textId="77777777" w:rsidR="00293088" w:rsidRDefault="00293088" w:rsidP="00293088">
      <w:r>
        <w:t>The study item on integrated access and backhaul aims at supporting NR cells, which are self-backhauled using the NR radio interface to other NR nodes.</w:t>
      </w:r>
    </w:p>
    <w:p w14:paraId="656715CA" w14:textId="77777777" w:rsidR="00293088" w:rsidRDefault="00293088" w:rsidP="00293088">
      <w:r>
        <w:t>Following requirements are mentioned in the study item description:</w:t>
      </w:r>
    </w:p>
    <w:p w14:paraId="656715CB" w14:textId="77777777" w:rsidR="00293088" w:rsidRDefault="00293088" w:rsidP="00293088">
      <w:r>
        <w:t>•</w:t>
      </w:r>
      <w:r>
        <w:tab/>
        <w:t xml:space="preserve">Efficient and flexible operation for both in-band and out-band relaying in indoor and outdoor scenarios </w:t>
      </w:r>
    </w:p>
    <w:p w14:paraId="656715CC" w14:textId="77777777" w:rsidR="00293088" w:rsidRDefault="00293088" w:rsidP="00293088">
      <w:r>
        <w:t>•</w:t>
      </w:r>
      <w:r>
        <w:tab/>
        <w:t>Multi-hop and redundant connectivity</w:t>
      </w:r>
    </w:p>
    <w:p w14:paraId="656715CD" w14:textId="77777777" w:rsidR="00293088" w:rsidRDefault="00293088" w:rsidP="00293088">
      <w:r>
        <w:t>•</w:t>
      </w:r>
      <w:r>
        <w:tab/>
        <w:t>Support of legacy NR UEs</w:t>
      </w:r>
    </w:p>
    <w:p w14:paraId="656715CE" w14:textId="77777777" w:rsidR="00293088" w:rsidRPr="00A2052C" w:rsidRDefault="00293088" w:rsidP="00293088">
      <w:r>
        <w:t>The aim of this contribution is to identify some of the key questions in radio resource sharing in multi-hop connections with legacy support for NR UEs for further discussion.</w:t>
      </w:r>
    </w:p>
    <w:p w14:paraId="656715CF" w14:textId="77777777" w:rsidR="00293088" w:rsidRDefault="00293088" w:rsidP="00293088">
      <w:pPr>
        <w:pStyle w:val="Heading1"/>
      </w:pPr>
      <w:r>
        <w:t>Terminology</w:t>
      </w:r>
    </w:p>
    <w:p w14:paraId="656715D0" w14:textId="77777777" w:rsidR="00293088" w:rsidRDefault="00293088" w:rsidP="00293088">
      <w:r>
        <w:t>In this contribution the following terminology is used:</w:t>
      </w:r>
    </w:p>
    <w:p w14:paraId="7ABBEFB5" w14:textId="77777777" w:rsidR="00522F60" w:rsidRDefault="00522F60" w:rsidP="00522F60">
      <w:pPr>
        <w:pStyle w:val="ListParagraph"/>
        <w:numPr>
          <w:ilvl w:val="0"/>
          <w:numId w:val="18"/>
        </w:numPr>
      </w:pPr>
      <w:r w:rsidRPr="00FC16A1">
        <w:rPr>
          <w:b/>
        </w:rPr>
        <w:t>IAB donor node (IAB-DN):</w:t>
      </w:r>
      <w:r>
        <w:t xml:space="preserve"> The gNB or part of the gNB, that is using NR to backhaul other NR nodes. </w:t>
      </w:r>
    </w:p>
    <w:p w14:paraId="16E7E6AC" w14:textId="77777777" w:rsidR="00522F60" w:rsidRDefault="00522F60" w:rsidP="00522F60">
      <w:pPr>
        <w:pStyle w:val="ListParagraph"/>
        <w:numPr>
          <w:ilvl w:val="0"/>
          <w:numId w:val="18"/>
        </w:numPr>
      </w:pPr>
      <w:r w:rsidRPr="00FC16A1">
        <w:rPr>
          <w:b/>
        </w:rPr>
        <w:t>IAB node (IAB-N):</w:t>
      </w:r>
      <w:r>
        <w:t xml:space="preserve"> The NR node being backhauled using NR radio to another NR node (either an IAB node, or an IAB donor node)</w:t>
      </w:r>
    </w:p>
    <w:p w14:paraId="598907F5" w14:textId="77777777" w:rsidR="00522F60" w:rsidRDefault="00522F60" w:rsidP="00522F60">
      <w:pPr>
        <w:pStyle w:val="ListParagraph"/>
        <w:numPr>
          <w:ilvl w:val="0"/>
          <w:numId w:val="18"/>
        </w:numPr>
      </w:pPr>
      <w:r w:rsidRPr="00FC16A1">
        <w:rPr>
          <w:b/>
        </w:rPr>
        <w:t>IAB backhaul link:</w:t>
      </w:r>
      <w:r>
        <w:t xml:space="preserve"> The NR link between the IAB node and the other IAB nodes or IAB donor node providing backhaul. </w:t>
      </w:r>
    </w:p>
    <w:p w14:paraId="79033A09" w14:textId="77777777" w:rsidR="00522F60" w:rsidRDefault="00522F60" w:rsidP="00522F60">
      <w:pPr>
        <w:pStyle w:val="ListParagraph"/>
        <w:numPr>
          <w:ilvl w:val="0"/>
          <w:numId w:val="18"/>
        </w:numPr>
      </w:pPr>
      <w:r>
        <w:rPr>
          <w:b/>
        </w:rPr>
        <w:t>Access link:</w:t>
      </w:r>
      <w:r>
        <w:t xml:space="preserve"> The link between a UE and a IAB donor node (in case UE is being directly served by it without an intermediary IAB-N).</w:t>
      </w:r>
    </w:p>
    <w:p w14:paraId="0BD66B07" w14:textId="37A53398" w:rsidR="00522F60" w:rsidRDefault="00522F60" w:rsidP="00522F60">
      <w:pPr>
        <w:pStyle w:val="ListParagraph"/>
        <w:numPr>
          <w:ilvl w:val="0"/>
          <w:numId w:val="18"/>
        </w:numPr>
      </w:pPr>
      <w:r w:rsidRPr="00FC16A1">
        <w:rPr>
          <w:b/>
        </w:rPr>
        <w:t>IAB access link</w:t>
      </w:r>
      <w:r>
        <w:rPr>
          <w:b/>
        </w:rPr>
        <w:t>:</w:t>
      </w:r>
      <w:r>
        <w:t xml:space="preserve"> The link between the IAB node and the UEs.</w:t>
      </w:r>
    </w:p>
    <w:p w14:paraId="2596899E" w14:textId="77777777" w:rsidR="00522F60" w:rsidRDefault="00522F60" w:rsidP="00522F60">
      <w:pPr>
        <w:pStyle w:val="ListParagraph"/>
        <w:numPr>
          <w:ilvl w:val="0"/>
          <w:numId w:val="18"/>
        </w:numPr>
      </w:pPr>
      <w:r w:rsidRPr="00FC16A1">
        <w:rPr>
          <w:b/>
        </w:rPr>
        <w:t>Inband/Outband:</w:t>
      </w:r>
      <w:r>
        <w:t xml:space="preserve"> Inband means that the same carrier frequency is used both for the IAB-backhaul link and the IAB-access link. Outband means that the IAB-backhaul link and the IAB-access link uses different carrier frequency.</w:t>
      </w:r>
      <w:r w:rsidRPr="00522F60">
        <w:t xml:space="preserve"> </w:t>
      </w:r>
    </w:p>
    <w:p w14:paraId="3BD4937B" w14:textId="6A645179" w:rsidR="00522F60" w:rsidRDefault="00522F60" w:rsidP="00522F60">
      <w:pPr>
        <w:pStyle w:val="ListParagraph"/>
        <w:numPr>
          <w:ilvl w:val="0"/>
          <w:numId w:val="18"/>
        </w:numPr>
      </w:pPr>
      <w:r w:rsidRPr="00D01516">
        <w:t>Data traffic directed towards a</w:t>
      </w:r>
      <w:r>
        <w:t>n</w:t>
      </w:r>
      <w:r w:rsidRPr="00D01516">
        <w:t xml:space="preserve"> </w:t>
      </w:r>
      <w:r>
        <w:t>IAB-DN</w:t>
      </w:r>
      <w:r w:rsidRPr="00D01516">
        <w:t xml:space="preserve"> is considered uplink </w:t>
      </w:r>
      <w:r>
        <w:t xml:space="preserve">(UL) </w:t>
      </w:r>
      <w:r w:rsidRPr="00D01516">
        <w:t xml:space="preserve">traffic; data traffic directed towards NR UEs is considered downlink </w:t>
      </w:r>
      <w:r>
        <w:t xml:space="preserve">(DL) </w:t>
      </w:r>
      <w:r w:rsidRPr="00D01516">
        <w:t>traffic</w:t>
      </w:r>
      <w:r>
        <w:t>.</w:t>
      </w:r>
    </w:p>
    <w:p w14:paraId="656715D5" w14:textId="77777777" w:rsidR="004000E8" w:rsidRPr="00CE0424" w:rsidRDefault="004000E8" w:rsidP="00CE0424">
      <w:pPr>
        <w:pStyle w:val="Heading1"/>
      </w:pPr>
      <w:r w:rsidRPr="00CE0424">
        <w:t>Discussion</w:t>
      </w:r>
      <w:bookmarkEnd w:id="0"/>
    </w:p>
    <w:p w14:paraId="15F2CE8F" w14:textId="77777777" w:rsidR="00522F60" w:rsidRDefault="00DD57B5" w:rsidP="00CE0424">
      <w:pPr>
        <w:pStyle w:val="BodyText"/>
      </w:pPr>
      <w:r>
        <w:t>It</w:t>
      </w:r>
      <w:r w:rsidR="00CD1534">
        <w:t xml:space="preserve"> is important to have the transmitter and receiver of a wireless transceiver well separated. If not separated in space, this is usually achieved by synchronized transmission and reception in frequency or time domain (FDD or TDD).</w:t>
      </w:r>
    </w:p>
    <w:p w14:paraId="656715D6" w14:textId="68A61AF4" w:rsidR="00CD1534" w:rsidRDefault="00D01516" w:rsidP="00CE0424">
      <w:pPr>
        <w:pStyle w:val="BodyText"/>
      </w:pPr>
      <w:r>
        <w:br/>
      </w:r>
    </w:p>
    <w:p w14:paraId="656715D7" w14:textId="77777777" w:rsidR="00CE0424" w:rsidRDefault="000A1A8F" w:rsidP="00CE0424">
      <w:pPr>
        <w:pStyle w:val="Heading2"/>
      </w:pPr>
      <w:r>
        <w:lastRenderedPageBreak/>
        <w:t>NR-IAB with Out-Band Relaying</w:t>
      </w:r>
    </w:p>
    <w:p w14:paraId="656715D8" w14:textId="0C0E8BA1" w:rsidR="0066377C" w:rsidRDefault="0066377C" w:rsidP="0066377C">
      <w:r>
        <w:t>In NR-IAB out</w:t>
      </w:r>
      <w:r w:rsidR="00713A5A">
        <w:t>-</w:t>
      </w:r>
      <w:r>
        <w:t xml:space="preserve">band relaying, the access and the backhaul link operate in different </w:t>
      </w:r>
      <w:r w:rsidR="00293088">
        <w:t xml:space="preserve">carrier </w:t>
      </w:r>
      <w:r>
        <w:t>frequenc</w:t>
      </w:r>
      <w:r w:rsidR="00293088">
        <w:t>ies</w:t>
      </w:r>
      <w:r>
        <w:t>. Thus, separation of access and backhaul domains can be achieved by the same means as Tx and Rx in FDD systems. If radios for access and backhaul are not integrated</w:t>
      </w:r>
      <w:r w:rsidR="00522F60">
        <w:t>,</w:t>
      </w:r>
      <w:r>
        <w:t xml:space="preserve"> physical separation can </w:t>
      </w:r>
      <w:r w:rsidR="00522F60">
        <w:t xml:space="preserve">also </w:t>
      </w:r>
      <w:r>
        <w:t>be used.</w:t>
      </w:r>
      <w:r>
        <w:br/>
        <w:t>Access and backhaul link</w:t>
      </w:r>
      <w:r w:rsidR="00522F60">
        <w:t>s</w:t>
      </w:r>
      <w:r>
        <w:t xml:space="preserve"> can be operated independently and multi-hop connectivity and support of legacy NR UEs are rather independent issues.</w:t>
      </w:r>
    </w:p>
    <w:p w14:paraId="656715D9" w14:textId="20549866" w:rsidR="00D2325E" w:rsidRDefault="00D2325E" w:rsidP="00D2325E">
      <w:pPr>
        <w:pStyle w:val="Observation"/>
      </w:pPr>
      <w:bookmarkStart w:id="1" w:name="_Toc503474829"/>
      <w:bookmarkStart w:id="2" w:name="_Toc503474861"/>
      <w:r>
        <w:t>In out-band</w:t>
      </w:r>
      <w:r w:rsidR="00522F60">
        <w:t xml:space="preserve"> IAB</w:t>
      </w:r>
      <w:r w:rsidR="00035A39">
        <w:t>,</w:t>
      </w:r>
      <w:r>
        <w:t xml:space="preserve"> transceivers in </w:t>
      </w:r>
      <w:r w:rsidR="00522F60">
        <w:t xml:space="preserve">the </w:t>
      </w:r>
      <w:r>
        <w:t xml:space="preserve">backhaul and access can be isolated by spatial separation or frequency filters. </w:t>
      </w:r>
      <w:r w:rsidRPr="00D2325E">
        <w:t>Access and backhaul link</w:t>
      </w:r>
      <w:r w:rsidR="00035A39">
        <w:t>s</w:t>
      </w:r>
      <w:r w:rsidRPr="00D2325E">
        <w:t xml:space="preserve"> can be operated independently</w:t>
      </w:r>
      <w:r>
        <w:t>.</w:t>
      </w:r>
      <w:bookmarkEnd w:id="1"/>
      <w:bookmarkEnd w:id="2"/>
    </w:p>
    <w:p w14:paraId="656715DA" w14:textId="77777777" w:rsidR="000A1A8F" w:rsidRDefault="000A1A8F" w:rsidP="000A1A8F">
      <w:pPr>
        <w:pStyle w:val="Heading2"/>
      </w:pPr>
      <w:r>
        <w:t>NR-IAB with In-Band Relaying</w:t>
      </w:r>
    </w:p>
    <w:p w14:paraId="656715DB" w14:textId="5842F14D" w:rsidR="000A1A8F" w:rsidRDefault="000A1A8F" w:rsidP="000A1A8F">
      <w:pPr>
        <w:pStyle w:val="BodyText"/>
      </w:pPr>
      <w:r>
        <w:t>In</w:t>
      </w:r>
      <w:r w:rsidRPr="003F7064">
        <w:t xml:space="preserve"> </w:t>
      </w:r>
      <w:r>
        <w:t>NR-IAB with in</w:t>
      </w:r>
      <w:r w:rsidR="00D2325E">
        <w:t>-</w:t>
      </w:r>
      <w:r>
        <w:t>band relaying, access and backhaul link</w:t>
      </w:r>
      <w:r w:rsidR="00392F93">
        <w:t>s</w:t>
      </w:r>
      <w:r>
        <w:t xml:space="preserve"> </w:t>
      </w:r>
      <w:r w:rsidR="005C2A93">
        <w:t xml:space="preserve">use the same carrier frequencies and thus </w:t>
      </w:r>
      <w:r>
        <w:t>share the same radio resources. Access operation has effects on backhaul operation and vice versa</w:t>
      </w:r>
      <w:r w:rsidR="00392F93">
        <w:t>.</w:t>
      </w:r>
    </w:p>
    <w:p w14:paraId="656715DC" w14:textId="77777777" w:rsidR="00CE0424" w:rsidRDefault="00D01516" w:rsidP="00CE0424">
      <w:pPr>
        <w:pStyle w:val="Heading3"/>
      </w:pPr>
      <w:r>
        <w:t>FDD Operation in IAB Backhaul Domain</w:t>
      </w:r>
    </w:p>
    <w:p w14:paraId="656715DD" w14:textId="77777777" w:rsidR="00D01516" w:rsidRDefault="00673F01" w:rsidP="00D01516">
      <w:r>
        <w:t xml:space="preserve">Figure 1 shows FDD operation in backhaul and access links without any specific coordination/scheduling in time domain. As indicated by red arrows, there is </w:t>
      </w:r>
      <w:r w:rsidR="00F40214">
        <w:t xml:space="preserve">potentially </w:t>
      </w:r>
      <w:r>
        <w:t xml:space="preserve">significant interference </w:t>
      </w:r>
      <w:r w:rsidR="00F40214">
        <w:t>from near-far effects between backhaul links and backhaul-access links.</w:t>
      </w:r>
    </w:p>
    <w:p w14:paraId="656715DE" w14:textId="77777777" w:rsidR="00D01516" w:rsidRDefault="00D01516" w:rsidP="00D01516"/>
    <w:p w14:paraId="656715DF" w14:textId="77777777" w:rsidR="0098234D" w:rsidRDefault="0098234D" w:rsidP="00D01516">
      <w:pPr>
        <w:jc w:val="center"/>
      </w:pPr>
    </w:p>
    <w:p w14:paraId="656715E0" w14:textId="77777777" w:rsidR="00CB1438" w:rsidRDefault="004412C3" w:rsidP="00D01516">
      <w:pPr>
        <w:jc w:val="center"/>
      </w:pPr>
      <w:r>
        <w:rPr>
          <w:noProof/>
          <w:lang w:val="en-US" w:eastAsia="en-US"/>
        </w:rPr>
        <w:drawing>
          <wp:inline distT="0" distB="0" distL="0" distR="0" wp14:anchorId="65671620" wp14:editId="65671621">
            <wp:extent cx="2876400" cy="200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005200"/>
                    </a:xfrm>
                    <a:prstGeom prst="rect">
                      <a:avLst/>
                    </a:prstGeom>
                    <a:noFill/>
                  </pic:spPr>
                </pic:pic>
              </a:graphicData>
            </a:graphic>
          </wp:inline>
        </w:drawing>
      </w:r>
    </w:p>
    <w:p w14:paraId="656715E1" w14:textId="77777777" w:rsidR="00D01516" w:rsidRPr="00CE0424" w:rsidRDefault="00D01516" w:rsidP="00D01516">
      <w:pPr>
        <w:pStyle w:val="Caption"/>
      </w:pPr>
      <w:r w:rsidRPr="00CE0424">
        <w:t xml:space="preserve">Figure </w:t>
      </w:r>
      <w:r w:rsidRPr="00CE0424">
        <w:fldChar w:fldCharType="begin"/>
      </w:r>
      <w:r w:rsidRPr="00CE0424">
        <w:instrText xml:space="preserve"> SEQ Figure \* ARABIC </w:instrText>
      </w:r>
      <w:r w:rsidRPr="00CE0424">
        <w:fldChar w:fldCharType="separate"/>
      </w:r>
      <w:r w:rsidR="004C25D7">
        <w:rPr>
          <w:noProof/>
        </w:rPr>
        <w:t>1</w:t>
      </w:r>
      <w:r w:rsidRPr="00CE0424">
        <w:fldChar w:fldCharType="end"/>
      </w:r>
      <w:r w:rsidRPr="00CE0424">
        <w:t xml:space="preserve">: </w:t>
      </w:r>
      <w:r w:rsidRPr="00D01516">
        <w:t>FDD Operation in IAB</w:t>
      </w:r>
      <w:r>
        <w:t xml:space="preserve">; transmission </w:t>
      </w:r>
      <w:r w:rsidR="008360FF">
        <w:t xml:space="preserve">on uplink carrier </w:t>
      </w:r>
      <w:r>
        <w:t>is indicated</w:t>
      </w:r>
      <w:r w:rsidR="0098234D">
        <w:t xml:space="preserve"> by blue, transmission</w:t>
      </w:r>
      <w:r w:rsidR="008360FF">
        <w:t xml:space="preserve"> on downlink carrier</w:t>
      </w:r>
      <w:r w:rsidR="0098234D">
        <w:t xml:space="preserve"> by green</w:t>
      </w:r>
      <w:r w:rsidR="00CB1438">
        <w:t>,</w:t>
      </w:r>
      <w:r w:rsidR="0098234D">
        <w:t xml:space="preserve"> and interference between different links by red arrows.</w:t>
      </w:r>
    </w:p>
    <w:p w14:paraId="656715E2" w14:textId="77777777" w:rsidR="00E8428E" w:rsidRDefault="00E8428E" w:rsidP="00D01516">
      <w:pPr>
        <w:pStyle w:val="BodyText"/>
      </w:pPr>
    </w:p>
    <w:p w14:paraId="656715E3" w14:textId="77777777" w:rsidR="00F51AF9" w:rsidRDefault="00F40214" w:rsidP="00D01516">
      <w:pPr>
        <w:pStyle w:val="BodyText"/>
      </w:pPr>
      <w:r>
        <w:t>Separation of access and backhaul links by proper frequency domain resource scheduling is not effective, since frequency separation only exist in the digital domain and near-far effects would still exists in the analogue section of antenna port</w:t>
      </w:r>
      <w:r w:rsidR="000E3C3F">
        <w:t>s</w:t>
      </w:r>
      <w:r>
        <w:t>.</w:t>
      </w:r>
    </w:p>
    <w:p w14:paraId="656715E4" w14:textId="7636B42A" w:rsidR="00D01516" w:rsidRDefault="00E8428E" w:rsidP="00D01516">
      <w:pPr>
        <w:pStyle w:val="BodyText"/>
      </w:pPr>
      <w:r>
        <w:br/>
        <w:t>Separation of access and backhaul links can be achieved by non-overlapping time domain scheduling, as depicted in Fig</w:t>
      </w:r>
      <w:r w:rsidR="00392F93">
        <w:t>ure</w:t>
      </w:r>
      <w:r>
        <w:t xml:space="preserve"> 2. Timeslots in </w:t>
      </w:r>
      <w:r w:rsidR="008C05A8">
        <w:t>U</w:t>
      </w:r>
      <w:r>
        <w:t>L/</w:t>
      </w:r>
      <w:r w:rsidR="008C05A8">
        <w:t>D</w:t>
      </w:r>
      <w:r>
        <w:t xml:space="preserve">L </w:t>
      </w:r>
      <w:r w:rsidR="008C05A8">
        <w:t xml:space="preserve">scheduled for transmission on IAB access links </w:t>
      </w:r>
      <w:r>
        <w:t xml:space="preserve">must not be used </w:t>
      </w:r>
      <w:r w:rsidR="008C05A8">
        <w:t>for</w:t>
      </w:r>
      <w:r>
        <w:t xml:space="preserve"> </w:t>
      </w:r>
      <w:r w:rsidR="008C05A8">
        <w:t xml:space="preserve">IAB </w:t>
      </w:r>
      <w:r>
        <w:t xml:space="preserve">backhaul. </w:t>
      </w:r>
      <w:r w:rsidR="00924DED">
        <w:t xml:space="preserve">However, </w:t>
      </w:r>
      <w:r w:rsidR="00CB1438">
        <w:t xml:space="preserve">for IAB-Ns, </w:t>
      </w:r>
      <w:r w:rsidRPr="00E8428E">
        <w:t>DL capacity decrease</w:t>
      </w:r>
      <w:r>
        <w:t>s</w:t>
      </w:r>
      <w:r w:rsidRPr="00E8428E">
        <w:t xml:space="preserve"> to </w:t>
      </w:r>
      <w:r w:rsidR="00CB1438">
        <w:t>min(</w:t>
      </w:r>
      <w:r w:rsidRPr="00E8428E">
        <w:t>t1</w:t>
      </w:r>
      <w:r w:rsidR="00CB1438">
        <w:t xml:space="preserve">,t2) </w:t>
      </w:r>
      <w:r w:rsidRPr="00E8428E">
        <w:t>(%), UL capacity decrease</w:t>
      </w:r>
      <w:r w:rsidR="00924DED">
        <w:t>s</w:t>
      </w:r>
      <w:r w:rsidRPr="00E8428E">
        <w:t xml:space="preserve"> to </w:t>
      </w:r>
      <w:r w:rsidR="00CB1438">
        <w:t>min(</w:t>
      </w:r>
      <w:r w:rsidRPr="00E8428E">
        <w:t>t3</w:t>
      </w:r>
      <w:r w:rsidR="00CB1438">
        <w:t xml:space="preserve">,t4) </w:t>
      </w:r>
      <w:r w:rsidRPr="00E8428E">
        <w:t>(%)</w:t>
      </w:r>
      <w:r w:rsidR="00924DED">
        <w:t xml:space="preserve"> and</w:t>
      </w:r>
      <w:r>
        <w:t xml:space="preserve"> interference </w:t>
      </w:r>
      <w:r w:rsidR="00924DED">
        <w:t xml:space="preserve">is </w:t>
      </w:r>
      <w:r>
        <w:t xml:space="preserve">still </w:t>
      </w:r>
      <w:r w:rsidR="00924DED">
        <w:t>present</w:t>
      </w:r>
      <w:r>
        <w:t xml:space="preserve"> in between backhaul links.</w:t>
      </w:r>
      <w:r w:rsidR="002C25ED">
        <w:t xml:space="preserve"> Thus, system cap</w:t>
      </w:r>
      <w:r w:rsidR="009C359B">
        <w:t>acity in IAB is reduced</w:t>
      </w:r>
      <w:r w:rsidR="002C25ED">
        <w:t xml:space="preserve">; </w:t>
      </w:r>
      <w:r w:rsidR="00392F93">
        <w:t xml:space="preserve">and </w:t>
      </w:r>
      <w:r w:rsidR="002C25ED">
        <w:t>UEs directly connecting to the IAB-DN can be unaffected.</w:t>
      </w:r>
    </w:p>
    <w:p w14:paraId="656715E5" w14:textId="77777777" w:rsidR="00924DED" w:rsidRDefault="00924DED" w:rsidP="00D01516">
      <w:pPr>
        <w:pStyle w:val="BodyText"/>
      </w:pPr>
    </w:p>
    <w:p w14:paraId="656715E6" w14:textId="77777777" w:rsidR="00F40214" w:rsidRDefault="00F40214" w:rsidP="00D01516">
      <w:pPr>
        <w:pStyle w:val="BodyText"/>
      </w:pPr>
    </w:p>
    <w:p w14:paraId="656715E7" w14:textId="77777777" w:rsidR="00F40214" w:rsidRDefault="004412C3" w:rsidP="00F40214">
      <w:pPr>
        <w:pStyle w:val="BodyText"/>
        <w:jc w:val="center"/>
      </w:pPr>
      <w:r>
        <w:rPr>
          <w:noProof/>
          <w:lang w:val="en-US" w:eastAsia="en-US"/>
        </w:rPr>
        <w:lastRenderedPageBreak/>
        <w:drawing>
          <wp:inline distT="0" distB="0" distL="0" distR="0" wp14:anchorId="65671622" wp14:editId="65671623">
            <wp:extent cx="3132000" cy="2005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2000" cy="2005200"/>
                    </a:xfrm>
                    <a:prstGeom prst="rect">
                      <a:avLst/>
                    </a:prstGeom>
                    <a:noFill/>
                  </pic:spPr>
                </pic:pic>
              </a:graphicData>
            </a:graphic>
          </wp:inline>
        </w:drawing>
      </w:r>
      <w:r w:rsidR="00E8428E">
        <w:rPr>
          <w:noProof/>
          <w:lang w:val="en-US" w:eastAsia="en-US"/>
        </w:rPr>
        <w:drawing>
          <wp:inline distT="0" distB="0" distL="0" distR="0" wp14:anchorId="65671624" wp14:editId="65671625">
            <wp:extent cx="1018800" cy="59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8800" cy="590400"/>
                    </a:xfrm>
                    <a:prstGeom prst="rect">
                      <a:avLst/>
                    </a:prstGeom>
                    <a:noFill/>
                  </pic:spPr>
                </pic:pic>
              </a:graphicData>
            </a:graphic>
          </wp:inline>
        </w:drawing>
      </w:r>
    </w:p>
    <w:p w14:paraId="656715E8" w14:textId="77777777" w:rsidR="00F40214" w:rsidRPr="00CE0424" w:rsidRDefault="00F40214" w:rsidP="00F40214">
      <w:pPr>
        <w:pStyle w:val="Caption"/>
      </w:pPr>
      <w:r w:rsidRPr="00CE0424">
        <w:t xml:space="preserve">Figure </w:t>
      </w:r>
      <w:r w:rsidR="00BC13EB" w:rsidRPr="00CE0424">
        <w:fldChar w:fldCharType="begin"/>
      </w:r>
      <w:r w:rsidR="00BC13EB" w:rsidRPr="00CE0424">
        <w:instrText xml:space="preserve"> SEQ Figure \* ARABIC </w:instrText>
      </w:r>
      <w:r w:rsidR="00BC13EB" w:rsidRPr="00CE0424">
        <w:fldChar w:fldCharType="separate"/>
      </w:r>
      <w:r w:rsidR="004C25D7">
        <w:rPr>
          <w:noProof/>
        </w:rPr>
        <w:t>2</w:t>
      </w:r>
      <w:r w:rsidR="00BC13EB" w:rsidRPr="00CE0424">
        <w:fldChar w:fldCharType="end"/>
      </w:r>
      <w:r w:rsidRPr="00CE0424">
        <w:t xml:space="preserve">: </w:t>
      </w:r>
      <w:r w:rsidRPr="00D01516">
        <w:t xml:space="preserve">FDD Operation in IAB </w:t>
      </w:r>
      <w:r>
        <w:t>with separation of access and backhaul transmission by non-overlapping time domain scheduling.</w:t>
      </w:r>
    </w:p>
    <w:p w14:paraId="656715E9" w14:textId="77777777" w:rsidR="00F40214" w:rsidRDefault="00F40214" w:rsidP="00D01516">
      <w:pPr>
        <w:pStyle w:val="BodyText"/>
      </w:pPr>
    </w:p>
    <w:p w14:paraId="656715EA" w14:textId="0CF7FC5F" w:rsidR="00727F1C" w:rsidRDefault="00727F1C" w:rsidP="00D01516">
      <w:pPr>
        <w:pStyle w:val="BodyText"/>
      </w:pPr>
      <w:r>
        <w:t xml:space="preserve">In order to further reduce the potential of interference between backhaul links, further slicing in time domain (for example between transmission </w:t>
      </w:r>
      <w:r w:rsidR="00B16004">
        <w:t xml:space="preserve">IAB N2-N1 and </w:t>
      </w:r>
      <w:r>
        <w:t>N1-D</w:t>
      </w:r>
      <w:r w:rsidR="00B16004">
        <w:t>N</w:t>
      </w:r>
      <w:r>
        <w:t xml:space="preserve"> in Fig</w:t>
      </w:r>
      <w:r w:rsidR="00392F93">
        <w:t>ure</w:t>
      </w:r>
      <w:r>
        <w:t>. 2) can be introduced, but will also result in further reduction of backhauling capacity.</w:t>
      </w:r>
      <w:r w:rsidR="000F1D5A">
        <w:t xml:space="preserve"> Alternatively, one could assign </w:t>
      </w:r>
      <w:r w:rsidR="00105250">
        <w:t>available carrier frequencies</w:t>
      </w:r>
      <w:r w:rsidR="000F1D5A">
        <w:t xml:space="preserve"> </w:t>
      </w:r>
      <w:r w:rsidR="00CB1438">
        <w:t xml:space="preserve">to </w:t>
      </w:r>
      <w:r w:rsidR="00105250">
        <w:t>U</w:t>
      </w:r>
      <w:r w:rsidR="000F1D5A" w:rsidRPr="000F1D5A">
        <w:t>L/</w:t>
      </w:r>
      <w:r w:rsidR="00105250">
        <w:t>D</w:t>
      </w:r>
      <w:r w:rsidR="000F1D5A" w:rsidRPr="000F1D5A">
        <w:t>L</w:t>
      </w:r>
      <w:r w:rsidR="00105250">
        <w:t xml:space="preserve"> in a relay-node specific manner</w:t>
      </w:r>
      <w:r w:rsidR="000F1D5A">
        <w:t>, as shown in Fig</w:t>
      </w:r>
      <w:r w:rsidR="00392F93">
        <w:t>ure</w:t>
      </w:r>
      <w:r w:rsidR="000F1D5A">
        <w:t xml:space="preserve">. 3 with the </w:t>
      </w:r>
      <w:r w:rsidR="00105250">
        <w:t>U</w:t>
      </w:r>
      <w:r w:rsidR="000F1D5A">
        <w:t>L/</w:t>
      </w:r>
      <w:r w:rsidR="00105250">
        <w:t>D</w:t>
      </w:r>
      <w:r w:rsidR="000F1D5A">
        <w:t xml:space="preserve">L frequencies between </w:t>
      </w:r>
      <w:r w:rsidR="00B16004">
        <w:t>IAB-N1 and IAB-</w:t>
      </w:r>
      <w:r w:rsidR="000F1D5A">
        <w:t>N2 interchanged.</w:t>
      </w:r>
    </w:p>
    <w:p w14:paraId="656715EB" w14:textId="77777777" w:rsidR="00E8428E" w:rsidRDefault="00E8428E" w:rsidP="00D01516">
      <w:pPr>
        <w:pStyle w:val="BodyText"/>
      </w:pPr>
    </w:p>
    <w:p w14:paraId="656715EC" w14:textId="77777777" w:rsidR="00E8428E" w:rsidRDefault="004412C3" w:rsidP="00E8428E">
      <w:pPr>
        <w:pStyle w:val="BodyText"/>
        <w:jc w:val="center"/>
      </w:pPr>
      <w:r>
        <w:rPr>
          <w:noProof/>
          <w:lang w:val="en-US" w:eastAsia="en-US"/>
        </w:rPr>
        <w:drawing>
          <wp:inline distT="0" distB="0" distL="0" distR="0" wp14:anchorId="65671626" wp14:editId="65671627">
            <wp:extent cx="3132000" cy="200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2000" cy="2005200"/>
                    </a:xfrm>
                    <a:prstGeom prst="rect">
                      <a:avLst/>
                    </a:prstGeom>
                    <a:noFill/>
                  </pic:spPr>
                </pic:pic>
              </a:graphicData>
            </a:graphic>
          </wp:inline>
        </w:drawing>
      </w:r>
      <w:r w:rsidR="00E8428E">
        <w:rPr>
          <w:noProof/>
          <w:lang w:val="en-US" w:eastAsia="en-US"/>
        </w:rPr>
        <w:drawing>
          <wp:inline distT="0" distB="0" distL="0" distR="0" wp14:anchorId="65671628" wp14:editId="65671629">
            <wp:extent cx="1018800" cy="59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18800" cy="590400"/>
                    </a:xfrm>
                    <a:prstGeom prst="rect">
                      <a:avLst/>
                    </a:prstGeom>
                    <a:noFill/>
                  </pic:spPr>
                </pic:pic>
              </a:graphicData>
            </a:graphic>
          </wp:inline>
        </w:drawing>
      </w:r>
    </w:p>
    <w:p w14:paraId="656715ED" w14:textId="77777777" w:rsidR="000F1D5A" w:rsidRPr="00CE0424" w:rsidRDefault="000F1D5A" w:rsidP="000F1D5A">
      <w:pPr>
        <w:pStyle w:val="Caption"/>
      </w:pPr>
      <w:r w:rsidRPr="00CE0424">
        <w:t xml:space="preserve">Figure </w:t>
      </w:r>
      <w:r w:rsidR="00BF4B03" w:rsidRPr="00CE0424">
        <w:fldChar w:fldCharType="begin"/>
      </w:r>
      <w:r w:rsidR="00BF4B03" w:rsidRPr="00CE0424">
        <w:instrText xml:space="preserve"> SEQ Figure \* ARABIC </w:instrText>
      </w:r>
      <w:r w:rsidR="00BF4B03" w:rsidRPr="00CE0424">
        <w:fldChar w:fldCharType="separate"/>
      </w:r>
      <w:r w:rsidR="004C25D7">
        <w:rPr>
          <w:noProof/>
        </w:rPr>
        <w:t>3</w:t>
      </w:r>
      <w:r w:rsidR="00BF4B03" w:rsidRPr="00CE0424">
        <w:fldChar w:fldCharType="end"/>
      </w:r>
      <w:r w:rsidRPr="00CE0424">
        <w:t xml:space="preserve">: </w:t>
      </w:r>
      <w:r w:rsidRPr="00D01516">
        <w:t xml:space="preserve">FDD Operation in IAB </w:t>
      </w:r>
      <w:r>
        <w:t xml:space="preserve">with separation of access and backhaul transmission by non-overlapping time domain scheduling </w:t>
      </w:r>
      <w:r w:rsidR="00864B89">
        <w:t xml:space="preserve">and </w:t>
      </w:r>
      <w:r>
        <w:t>relay-node specific DL/UL frequency bands.</w:t>
      </w:r>
    </w:p>
    <w:p w14:paraId="656715EE" w14:textId="77777777" w:rsidR="00E8428E" w:rsidRDefault="00E8428E" w:rsidP="00D01516">
      <w:pPr>
        <w:pStyle w:val="BodyText"/>
      </w:pPr>
    </w:p>
    <w:p w14:paraId="656715EF" w14:textId="3805BF1F" w:rsidR="00E8428E" w:rsidRDefault="00022CED" w:rsidP="00D01516">
      <w:pPr>
        <w:pStyle w:val="BodyText"/>
      </w:pPr>
      <w:r>
        <w:t xml:space="preserve">Radio systems operated in FDD have a transmitter operating only on </w:t>
      </w:r>
      <w:r w:rsidR="00105250">
        <w:t>a</w:t>
      </w:r>
      <w:r>
        <w:t xml:space="preserve"> specific set of carrier frequencies that is different from any receiver carrier frequency.</w:t>
      </w:r>
      <w:r w:rsidR="00BC13EB">
        <w:t xml:space="preserve"> Figure 3 indicates an architecture in which </w:t>
      </w:r>
      <w:r w:rsidR="00B16004">
        <w:t>IAB-</w:t>
      </w:r>
      <w:r w:rsidR="00BC13EB">
        <w:t xml:space="preserve">N1 appears as UE to </w:t>
      </w:r>
      <w:r w:rsidR="00B16004">
        <w:t>IAB-DN</w:t>
      </w:r>
      <w:r w:rsidR="00BC13EB">
        <w:t xml:space="preserve"> and UE1 appears as UE to </w:t>
      </w:r>
      <w:r w:rsidR="00B16004">
        <w:t>IAB-</w:t>
      </w:r>
      <w:r w:rsidR="00BC13EB">
        <w:t xml:space="preserve">N1. In in-band relay, it is possible that UE1 must connect to the same transceiver of </w:t>
      </w:r>
      <w:r w:rsidR="00B16004">
        <w:t>IAB-</w:t>
      </w:r>
      <w:r w:rsidR="00BC13EB">
        <w:t xml:space="preserve">N1 that also connects </w:t>
      </w:r>
      <w:r w:rsidR="00BF4B03">
        <w:t xml:space="preserve">to </w:t>
      </w:r>
      <w:r w:rsidR="00B16004">
        <w:t>IAB-</w:t>
      </w:r>
      <w:r w:rsidR="00BF4B03">
        <w:t>DN</w:t>
      </w:r>
      <w:r w:rsidR="00B16004">
        <w:t>,</w:t>
      </w:r>
      <w:r w:rsidR="00BF4B03">
        <w:t xml:space="preserve"> as illustrated in Fig</w:t>
      </w:r>
      <w:r w:rsidR="00392F93">
        <w:t>ure</w:t>
      </w:r>
      <w:r w:rsidR="00BF4B03">
        <w:t xml:space="preserve">. 4. </w:t>
      </w:r>
      <w:r w:rsidR="00C27822">
        <w:t>But t</w:t>
      </w:r>
      <w:r w:rsidR="00BF4B03">
        <w:t xml:space="preserve">his results in a transceiver that </w:t>
      </w:r>
      <w:r w:rsidR="001C0058">
        <w:t xml:space="preserve">has apparent </w:t>
      </w:r>
      <w:r w:rsidR="00BF4B03" w:rsidRPr="00BF4B03">
        <w:t>UL and</w:t>
      </w:r>
      <w:r w:rsidR="00BF4B03">
        <w:t xml:space="preserve"> DL carrier</w:t>
      </w:r>
      <w:r w:rsidR="00392F93">
        <w:t>s</w:t>
      </w:r>
      <w:r w:rsidR="00BF4B03">
        <w:t xml:space="preserve"> in the same radio transmitter</w:t>
      </w:r>
      <w:r w:rsidR="00C27822">
        <w:t xml:space="preserve">; </w:t>
      </w:r>
      <w:r w:rsidR="00392F93">
        <w:t xml:space="preserve">the same </w:t>
      </w:r>
      <w:r w:rsidR="00105250">
        <w:t>holds</w:t>
      </w:r>
      <w:r w:rsidR="00C27822">
        <w:t xml:space="preserve"> for the receiver part. The reason is that the transmission from the same transmitter is uplink to </w:t>
      </w:r>
      <w:r w:rsidR="00B16004">
        <w:t>IAB-</w:t>
      </w:r>
      <w:r w:rsidR="00C27822">
        <w:t>DN and downlink to UE1.</w:t>
      </w:r>
    </w:p>
    <w:p w14:paraId="656715F0" w14:textId="77777777" w:rsidR="00F40214" w:rsidRDefault="00F40214" w:rsidP="00D01516">
      <w:pPr>
        <w:pStyle w:val="BodyText"/>
      </w:pPr>
    </w:p>
    <w:p w14:paraId="656715F1" w14:textId="77777777" w:rsidR="001C0058" w:rsidRDefault="00F95746" w:rsidP="00BC13EB">
      <w:pPr>
        <w:pStyle w:val="BodyText"/>
        <w:jc w:val="center"/>
      </w:pPr>
      <w:r>
        <w:rPr>
          <w:noProof/>
          <w:lang w:val="en-US" w:eastAsia="en-US"/>
        </w:rPr>
        <w:lastRenderedPageBreak/>
        <w:drawing>
          <wp:inline distT="0" distB="0" distL="0" distR="0" wp14:anchorId="6567162A" wp14:editId="6567162B">
            <wp:extent cx="3603600" cy="1936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3600" cy="1936800"/>
                    </a:xfrm>
                    <a:prstGeom prst="rect">
                      <a:avLst/>
                    </a:prstGeom>
                    <a:noFill/>
                  </pic:spPr>
                </pic:pic>
              </a:graphicData>
            </a:graphic>
          </wp:inline>
        </w:drawing>
      </w:r>
    </w:p>
    <w:p w14:paraId="656715F2" w14:textId="77777777" w:rsidR="00BC13EB" w:rsidRPr="00CE0424" w:rsidRDefault="00BC13EB" w:rsidP="00BC13EB">
      <w:pPr>
        <w:pStyle w:val="Caption"/>
      </w:pPr>
      <w:r w:rsidRPr="00CE0424">
        <w:t xml:space="preserve">Figure </w:t>
      </w:r>
      <w:r w:rsidR="00BF4B03" w:rsidRPr="00CE0424">
        <w:fldChar w:fldCharType="begin"/>
      </w:r>
      <w:r w:rsidR="00BF4B03" w:rsidRPr="00CE0424">
        <w:instrText xml:space="preserve"> SEQ Figure \* ARABIC </w:instrText>
      </w:r>
      <w:r w:rsidR="00BF4B03" w:rsidRPr="00CE0424">
        <w:fldChar w:fldCharType="separate"/>
      </w:r>
      <w:r w:rsidR="004C25D7">
        <w:rPr>
          <w:noProof/>
        </w:rPr>
        <w:t>4</w:t>
      </w:r>
      <w:r w:rsidR="00BF4B03" w:rsidRPr="00CE0424">
        <w:fldChar w:fldCharType="end"/>
      </w:r>
      <w:r w:rsidRPr="00CE0424">
        <w:t xml:space="preserve">: </w:t>
      </w:r>
      <w:r w:rsidRPr="00D01516">
        <w:t xml:space="preserve">FDD Operation in IAB </w:t>
      </w:r>
      <w:r>
        <w:t>with separation of access and backhaul transmission by non-overlapping time domain scheduling relay-node specific DL/UL frequency bands.</w:t>
      </w:r>
    </w:p>
    <w:p w14:paraId="0E15431B" w14:textId="77777777" w:rsidR="00392F93" w:rsidRDefault="001C0058" w:rsidP="00D01516">
      <w:pPr>
        <w:pStyle w:val="BodyText"/>
      </w:pPr>
      <w:r>
        <w:t>If</w:t>
      </w:r>
      <w:r w:rsidR="0049533B">
        <w:t>,</w:t>
      </w:r>
      <w:r>
        <w:t xml:space="preserve"> </w:t>
      </w:r>
      <w:r w:rsidR="00105250">
        <w:t>in IAB-Ns</w:t>
      </w:r>
      <w:r w:rsidR="0049533B">
        <w:t>,</w:t>
      </w:r>
      <w:r w:rsidR="00105250">
        <w:t xml:space="preserve"> </w:t>
      </w:r>
      <w:r>
        <w:t>uplink transmission</w:t>
      </w:r>
      <w:r w:rsidR="00EF3106">
        <w:t>s</w:t>
      </w:r>
      <w:r>
        <w:t xml:space="preserve"> in backhaul and the downlink transmission</w:t>
      </w:r>
      <w:r w:rsidR="00EF3106">
        <w:t>s</w:t>
      </w:r>
      <w:r>
        <w:t xml:space="preserve"> in access </w:t>
      </w:r>
      <w:r w:rsidR="00EF3106">
        <w:t>are</w:t>
      </w:r>
      <w:r>
        <w:t xml:space="preserve"> scheduled at overlapping time slots</w:t>
      </w:r>
      <w:r w:rsidR="00EF3106">
        <w:t xml:space="preserve"> (e.g. t3 = t2 in Fig</w:t>
      </w:r>
      <w:r w:rsidR="00392F93">
        <w:t>ure</w:t>
      </w:r>
      <w:r w:rsidR="00EF3106">
        <w:t xml:space="preserve"> 3)</w:t>
      </w:r>
      <w:r>
        <w:t>, each in-band relay node needs to implement multiple transmitters and receivers</w:t>
      </w:r>
      <w:r w:rsidR="00EF3106">
        <w:t xml:space="preserve"> (one for each UL and DL carrier)</w:t>
      </w:r>
      <w:r w:rsidR="0049533B">
        <w:t xml:space="preserve"> in order to support legacy UEs</w:t>
      </w:r>
      <w:r>
        <w:t>.</w:t>
      </w:r>
      <w:r w:rsidR="0049533B">
        <w:t xml:space="preserve"> Complexity in IAB-Ns will be twice as high as in IAB-DNs.</w:t>
      </w:r>
    </w:p>
    <w:p w14:paraId="656715F3" w14:textId="62807C0E" w:rsidR="00D671A5" w:rsidRDefault="0049533B" w:rsidP="00D01516">
      <w:pPr>
        <w:pStyle w:val="BodyText"/>
      </w:pPr>
      <w:r>
        <w:br/>
      </w:r>
      <w:r w:rsidR="00D671A5">
        <w:t xml:space="preserve">If transmission in access and backhaul domain is scheduled in mutually different time slots (e.g. t3 </w:t>
      </w:r>
      <w:r w:rsidR="00D671A5">
        <w:rPr>
          <w:rFonts w:cs="Arial"/>
        </w:rPr>
        <w:t>≠</w:t>
      </w:r>
      <w:r w:rsidR="00D671A5">
        <w:t xml:space="preserve"> t2 in Fig</w:t>
      </w:r>
      <w:r w:rsidR="00392F93">
        <w:t>ure</w:t>
      </w:r>
      <w:r w:rsidR="00D671A5">
        <w:t xml:space="preserve"> 3), each in-band relay node still needs to implement multiple transmitters and receivers (one for each UL and DL carrier) in order to support legacy UEs</w:t>
      </w:r>
      <w:r w:rsidR="00592691">
        <w:t xml:space="preserve"> operating in FDD</w:t>
      </w:r>
      <w:r w:rsidR="00D671A5">
        <w:t>; not all transmitters (and receivers) are used at the same time. Complexity in IAB-Ns will still be significantly higher than in IAB-DNs.</w:t>
      </w:r>
    </w:p>
    <w:p w14:paraId="76241E9E" w14:textId="77777777" w:rsidR="00392F93" w:rsidRDefault="00392F93" w:rsidP="00D01516">
      <w:pPr>
        <w:pStyle w:val="BodyText"/>
      </w:pPr>
    </w:p>
    <w:p w14:paraId="656715F4" w14:textId="2D86E548" w:rsidR="00F24C54" w:rsidRPr="00CE0424" w:rsidRDefault="00F24C54" w:rsidP="00F24C54">
      <w:pPr>
        <w:pStyle w:val="Observation"/>
      </w:pPr>
      <w:bookmarkStart w:id="3" w:name="_Toc503474830"/>
      <w:bookmarkStart w:id="4" w:name="_Toc503474862"/>
      <w:r>
        <w:t>Complexity in IAB nodes operated in FDD is significantly higher than in IAB don</w:t>
      </w:r>
      <w:r w:rsidR="00CB07A4">
        <w:t>o</w:t>
      </w:r>
      <w:r>
        <w:t>r nodes.</w:t>
      </w:r>
      <w:bookmarkEnd w:id="3"/>
      <w:bookmarkEnd w:id="4"/>
    </w:p>
    <w:p w14:paraId="656715F5" w14:textId="77777777" w:rsidR="00BC13EB" w:rsidRDefault="00BC13EB" w:rsidP="00F24C54">
      <w:pPr>
        <w:pStyle w:val="BodyText"/>
      </w:pPr>
    </w:p>
    <w:p w14:paraId="656715F6" w14:textId="0BF87E50" w:rsidR="008E7AB3" w:rsidRDefault="00F95746" w:rsidP="008E7AB3">
      <w:pPr>
        <w:pStyle w:val="BodyText"/>
        <w:rPr>
          <w:lang w:val="en-US"/>
        </w:rPr>
      </w:pPr>
      <w:r>
        <w:t>UE1 in Fig</w:t>
      </w:r>
      <w:r w:rsidR="00392F93">
        <w:t>ure</w:t>
      </w:r>
      <w:r>
        <w:t xml:space="preserve"> 4 can be stationary or mobile. UE1 could also stand for another relay-node </w:t>
      </w:r>
      <w:r w:rsidR="00D93BF1">
        <w:t>that is on the same layer in a multi-hop star-architecture.</w:t>
      </w:r>
      <w:r w:rsidR="00392F93">
        <w:t xml:space="preserve"> </w:t>
      </w:r>
      <w:r w:rsidR="00D93BF1">
        <w:t xml:space="preserve">UE1 could also be just another relay that connects to </w:t>
      </w:r>
      <w:r w:rsidR="00B16004">
        <w:t>IAB-</w:t>
      </w:r>
      <w:r w:rsidR="00D93BF1">
        <w:t xml:space="preserve">N1 and </w:t>
      </w:r>
      <w:r w:rsidR="00B16004">
        <w:t>IAB-</w:t>
      </w:r>
      <w:r w:rsidR="00D93BF1">
        <w:t xml:space="preserve">DN at the same time </w:t>
      </w:r>
      <w:r>
        <w:t xml:space="preserve">in case of an overall mesh-like architecture </w:t>
      </w:r>
      <w:r w:rsidR="00D93BF1">
        <w:t>for</w:t>
      </w:r>
      <w:r>
        <w:t xml:space="preserve"> </w:t>
      </w:r>
      <w:r w:rsidR="00D93BF1">
        <w:t>multi-</w:t>
      </w:r>
      <w:r>
        <w:t>connectivity.</w:t>
      </w:r>
      <w:r w:rsidR="00D93BF1">
        <w:t xml:space="preserve"> In this case, the notion of UL and DL depends on the actual routing that can change during operation (as in case of blocking events) and UL and DL carrier in FDD cannot be uniquely identified anymore.</w:t>
      </w:r>
    </w:p>
    <w:p w14:paraId="656715F7" w14:textId="270D6D6B" w:rsidR="006346FB" w:rsidRDefault="006346FB" w:rsidP="008E7AB3">
      <w:pPr>
        <w:pStyle w:val="BodyText"/>
      </w:pPr>
      <w:r>
        <w:rPr>
          <w:lang w:val="en-US"/>
        </w:rPr>
        <w:t xml:space="preserve">If t1, t2, t3 and t4 would be mutually </w:t>
      </w:r>
      <w:r>
        <w:t>non-overlapping timeslots and if all UL and DL carrier frequencies would be identical, the system in Fig</w:t>
      </w:r>
      <w:r w:rsidR="00392F93">
        <w:t>ure</w:t>
      </w:r>
      <w:r>
        <w:t xml:space="preserve"> 3 would become equivalent to a TDD system with the same system capacity</w:t>
      </w:r>
      <w:r w:rsidR="00282EEC">
        <w:t>, but only one transmitter/receiver implementation</w:t>
      </w:r>
      <w:r>
        <w:t>.</w:t>
      </w:r>
    </w:p>
    <w:p w14:paraId="492B5AF7" w14:textId="77777777" w:rsidR="00392F93" w:rsidRPr="008E7AB3" w:rsidRDefault="00392F93" w:rsidP="008E7AB3">
      <w:pPr>
        <w:pStyle w:val="BodyText"/>
        <w:rPr>
          <w:lang w:val="en-US"/>
        </w:rPr>
      </w:pPr>
    </w:p>
    <w:p w14:paraId="656715F8" w14:textId="7961BB06" w:rsidR="00282EEC" w:rsidRPr="00CE0424" w:rsidRDefault="00CB07A4" w:rsidP="00282EEC">
      <w:pPr>
        <w:pStyle w:val="Observation"/>
      </w:pPr>
      <w:bookmarkStart w:id="5" w:name="_Toc503474831"/>
      <w:bookmarkStart w:id="6" w:name="_Toc503474863"/>
      <w:r>
        <w:t>IAB nodes operating</w:t>
      </w:r>
      <w:r w:rsidR="00282EEC">
        <w:t xml:space="preserve"> in FDD and preventing self-interference </w:t>
      </w:r>
      <w:r w:rsidR="00AC07BB">
        <w:t xml:space="preserve">can </w:t>
      </w:r>
      <w:r w:rsidR="00282EEC">
        <w:t>become equivalent to TDD operated systems.</w:t>
      </w:r>
      <w:bookmarkEnd w:id="5"/>
      <w:bookmarkEnd w:id="6"/>
    </w:p>
    <w:p w14:paraId="656715FA" w14:textId="77777777" w:rsidR="008E7AB3" w:rsidRDefault="008E7AB3" w:rsidP="008E7AB3">
      <w:pPr>
        <w:pStyle w:val="Heading3"/>
      </w:pPr>
      <w:r>
        <w:t>TDD Operation in IAB Backhaul Domain</w:t>
      </w:r>
    </w:p>
    <w:p w14:paraId="656715FB" w14:textId="500D34AD" w:rsidR="00BC13EB" w:rsidRDefault="00AC07BB" w:rsidP="00D01516">
      <w:pPr>
        <w:pStyle w:val="BodyText"/>
      </w:pPr>
      <w:r>
        <w:t xml:space="preserve">Figure </w:t>
      </w:r>
      <w:r w:rsidR="00E33C4E">
        <w:t>5</w:t>
      </w:r>
      <w:r>
        <w:t xml:space="preserve"> shows </w:t>
      </w:r>
      <w:r w:rsidR="00B83860">
        <w:t xml:space="preserve">standard </w:t>
      </w:r>
      <w:r w:rsidR="00E33C4E">
        <w:t>T</w:t>
      </w:r>
      <w:r>
        <w:t>DD operation in backhaul and access links</w:t>
      </w:r>
      <w:r w:rsidR="00B83860">
        <w:t xml:space="preserve">; uplink is transmitted in timeslots </w:t>
      </w:r>
      <w:r w:rsidR="00207969">
        <w:t xml:space="preserve">t1 </w:t>
      </w:r>
      <w:r w:rsidR="00B83860">
        <w:t>and downlink is transmitted in timeslots t2.</w:t>
      </w:r>
      <w:r>
        <w:t xml:space="preserve"> As indicated by red arrows, there is potentially significant interference from near-far effects between backhaul links and backhaul-access links.</w:t>
      </w:r>
      <w:r w:rsidR="00392F93">
        <w:t xml:space="preserve"> </w:t>
      </w:r>
      <w:r w:rsidR="003E0EF5">
        <w:t>Separation of access and backhaul links by proper frequency domain resource scheduling is not effective, since frequency separation only exist in the digital domain and near-far effects would still exists in the analogue section of antenna ports.</w:t>
      </w:r>
    </w:p>
    <w:p w14:paraId="656715FC" w14:textId="77777777" w:rsidR="002C22DA" w:rsidRDefault="002C22DA" w:rsidP="00D01516">
      <w:pPr>
        <w:pStyle w:val="BodyText"/>
      </w:pPr>
    </w:p>
    <w:p w14:paraId="656715FD" w14:textId="77777777" w:rsidR="00BC13EB" w:rsidRDefault="00277C74" w:rsidP="00E33C4E">
      <w:pPr>
        <w:pStyle w:val="BodyText"/>
        <w:jc w:val="center"/>
      </w:pPr>
      <w:r>
        <w:rPr>
          <w:noProof/>
          <w:lang w:val="en-US" w:eastAsia="en-US"/>
        </w:rPr>
        <w:lastRenderedPageBreak/>
        <w:drawing>
          <wp:inline distT="0" distB="0" distL="0" distR="0" wp14:anchorId="6567162C" wp14:editId="6567162D">
            <wp:extent cx="2901600" cy="2005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1600" cy="2005200"/>
                    </a:xfrm>
                    <a:prstGeom prst="rect">
                      <a:avLst/>
                    </a:prstGeom>
                    <a:noFill/>
                  </pic:spPr>
                </pic:pic>
              </a:graphicData>
            </a:graphic>
          </wp:inline>
        </w:drawing>
      </w:r>
      <w:r>
        <w:rPr>
          <w:noProof/>
          <w:lang w:val="en-US" w:eastAsia="en-US"/>
        </w:rPr>
        <w:drawing>
          <wp:inline distT="0" distB="0" distL="0" distR="0" wp14:anchorId="6567162E" wp14:editId="6567162F">
            <wp:extent cx="1011600" cy="374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1600" cy="374400"/>
                    </a:xfrm>
                    <a:prstGeom prst="rect">
                      <a:avLst/>
                    </a:prstGeom>
                    <a:noFill/>
                  </pic:spPr>
                </pic:pic>
              </a:graphicData>
            </a:graphic>
          </wp:inline>
        </w:drawing>
      </w:r>
    </w:p>
    <w:p w14:paraId="656715FE" w14:textId="77777777" w:rsidR="00AC07BB" w:rsidRPr="00CE0424" w:rsidRDefault="00AC07BB" w:rsidP="00AC07BB">
      <w:pPr>
        <w:pStyle w:val="Caption"/>
      </w:pPr>
      <w:r w:rsidRPr="00CE0424">
        <w:t xml:space="preserve">Figure </w:t>
      </w:r>
      <w:r w:rsidRPr="00CE0424">
        <w:fldChar w:fldCharType="begin"/>
      </w:r>
      <w:r w:rsidRPr="00CE0424">
        <w:instrText xml:space="preserve"> SEQ Figure \* ARABIC </w:instrText>
      </w:r>
      <w:r w:rsidRPr="00CE0424">
        <w:fldChar w:fldCharType="separate"/>
      </w:r>
      <w:r w:rsidR="004C25D7">
        <w:rPr>
          <w:noProof/>
        </w:rPr>
        <w:t>5</w:t>
      </w:r>
      <w:r w:rsidRPr="00CE0424">
        <w:fldChar w:fldCharType="end"/>
      </w:r>
      <w:r w:rsidRPr="00CE0424">
        <w:t xml:space="preserve">: </w:t>
      </w:r>
      <w:r w:rsidR="00E33C4E">
        <w:t>T</w:t>
      </w:r>
      <w:r w:rsidR="00E33C4E" w:rsidRPr="00D01516">
        <w:t>DD Operation in IAB</w:t>
      </w:r>
      <w:r w:rsidR="00E33C4E">
        <w:t>; uplink transmission is indicated by blue, downlink transmission by green, and interference between different links by red arrows</w:t>
      </w:r>
      <w:r>
        <w:t>.</w:t>
      </w:r>
    </w:p>
    <w:p w14:paraId="656715FF" w14:textId="77777777" w:rsidR="00DE1BC7" w:rsidRDefault="00DE1BC7" w:rsidP="002C22DA">
      <w:pPr>
        <w:pStyle w:val="BodyText"/>
        <w:rPr>
          <w:lang w:val="en-US"/>
        </w:rPr>
      </w:pPr>
      <w:r>
        <w:rPr>
          <w:lang w:val="en-US"/>
        </w:rPr>
        <w:t xml:space="preserve">If the UL/DL timeslots would be defined per IAB-N, </w:t>
      </w:r>
      <w:r w:rsidR="005B03A6">
        <w:rPr>
          <w:lang w:val="en-US"/>
        </w:rPr>
        <w:t xml:space="preserve">interference </w:t>
      </w:r>
      <w:r w:rsidR="005B03A6">
        <w:t>between backhaul links and backhaul-access links could be completely avoided.</w:t>
      </w:r>
      <w:r w:rsidR="00FA12BC">
        <w:t xml:space="preserve"> However, it also results in different UL/DL timing of UEs connected to different IAB-Ns. UEs would not see this, but UEs that are in close proximity </w:t>
      </w:r>
      <w:r w:rsidR="00FA12BC">
        <w:rPr>
          <w:lang w:val="en-US"/>
        </w:rPr>
        <w:t>like on cell edges can create severe mutual interference.</w:t>
      </w:r>
    </w:p>
    <w:p w14:paraId="65671600" w14:textId="77777777" w:rsidR="00FA12BC" w:rsidRDefault="00FA12BC" w:rsidP="002C22DA">
      <w:pPr>
        <w:pStyle w:val="BodyText"/>
        <w:rPr>
          <w:lang w:val="en-US"/>
        </w:rPr>
      </w:pPr>
    </w:p>
    <w:p w14:paraId="65671601" w14:textId="77777777" w:rsidR="004B6F29" w:rsidRDefault="00277C74" w:rsidP="00F772E5">
      <w:pPr>
        <w:pStyle w:val="BodyText"/>
        <w:jc w:val="center"/>
      </w:pPr>
      <w:r>
        <w:rPr>
          <w:noProof/>
          <w:lang w:val="en-US" w:eastAsia="en-US"/>
        </w:rPr>
        <w:drawing>
          <wp:inline distT="0" distB="0" distL="0" distR="0" wp14:anchorId="65671630" wp14:editId="65671631">
            <wp:extent cx="2898000" cy="2005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8000" cy="2005200"/>
                    </a:xfrm>
                    <a:prstGeom prst="rect">
                      <a:avLst/>
                    </a:prstGeom>
                    <a:noFill/>
                  </pic:spPr>
                </pic:pic>
              </a:graphicData>
            </a:graphic>
          </wp:inline>
        </w:drawing>
      </w:r>
      <w:r>
        <w:rPr>
          <w:noProof/>
          <w:lang w:val="en-US" w:eastAsia="en-US"/>
        </w:rPr>
        <w:drawing>
          <wp:inline distT="0" distB="0" distL="0" distR="0" wp14:anchorId="65671632" wp14:editId="65671633">
            <wp:extent cx="1011600" cy="37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1600" cy="374400"/>
                    </a:xfrm>
                    <a:prstGeom prst="rect">
                      <a:avLst/>
                    </a:prstGeom>
                    <a:noFill/>
                  </pic:spPr>
                </pic:pic>
              </a:graphicData>
            </a:graphic>
          </wp:inline>
        </w:drawing>
      </w:r>
    </w:p>
    <w:p w14:paraId="65671602" w14:textId="77777777" w:rsidR="00E33C4E" w:rsidRPr="00CE0424" w:rsidRDefault="00E33C4E" w:rsidP="00E33C4E">
      <w:pPr>
        <w:pStyle w:val="Caption"/>
      </w:pPr>
      <w:r w:rsidRPr="00CE0424">
        <w:t xml:space="preserve">Figure </w:t>
      </w:r>
      <w:r w:rsidRPr="00CE0424">
        <w:fldChar w:fldCharType="begin"/>
      </w:r>
      <w:r w:rsidRPr="00CE0424">
        <w:instrText xml:space="preserve"> SEQ Figure \* ARABIC </w:instrText>
      </w:r>
      <w:r w:rsidRPr="00CE0424">
        <w:fldChar w:fldCharType="separate"/>
      </w:r>
      <w:r w:rsidR="004C25D7">
        <w:rPr>
          <w:noProof/>
        </w:rPr>
        <w:t>6</w:t>
      </w:r>
      <w:r w:rsidRPr="00CE0424">
        <w:fldChar w:fldCharType="end"/>
      </w:r>
      <w:r w:rsidRPr="00CE0424">
        <w:t xml:space="preserve">: </w:t>
      </w:r>
      <w:r w:rsidR="00B83860">
        <w:t>T</w:t>
      </w:r>
      <w:r w:rsidRPr="00D01516">
        <w:t xml:space="preserve">DD Operation in IAB </w:t>
      </w:r>
      <w:r>
        <w:t xml:space="preserve">with separation of access and backhaul transmission by </w:t>
      </w:r>
      <w:r w:rsidR="003E0EF5">
        <w:t xml:space="preserve">adjusting UL/DL timing </w:t>
      </w:r>
      <w:r w:rsidR="00DE1BC7">
        <w:t xml:space="preserve">specific </w:t>
      </w:r>
      <w:r w:rsidR="003E0EF5">
        <w:t>per IAB-N</w:t>
      </w:r>
      <w:r>
        <w:t>.</w:t>
      </w:r>
    </w:p>
    <w:p w14:paraId="65671603" w14:textId="3742B319" w:rsidR="000A59D8" w:rsidRDefault="00FA12BC" w:rsidP="00D01516">
      <w:pPr>
        <w:pStyle w:val="BodyText"/>
      </w:pPr>
      <w:r>
        <w:t xml:space="preserve">A solution to that could be to keep all UEs </w:t>
      </w:r>
      <w:r w:rsidR="00864B89">
        <w:t>in synchronized UL and DL mode and use dedicated time slots for the UL/DL transmission over backhaul links. This is illustrated in Fig</w:t>
      </w:r>
      <w:r w:rsidR="00CB07A4">
        <w:t>ure</w:t>
      </w:r>
      <w:r w:rsidR="00864B89">
        <w:t xml:space="preserve"> 7, where UEs receive and transmit on time slots t2 and </w:t>
      </w:r>
      <w:r w:rsidR="00207969">
        <w:t xml:space="preserve">t1 </w:t>
      </w:r>
      <w:r w:rsidR="00864B89">
        <w:t xml:space="preserve">of reduced extend, and backhaul transmission is scheduled in timeslots t3 and </w:t>
      </w:r>
      <w:r w:rsidR="00207969">
        <w:t>t4</w:t>
      </w:r>
      <w:r w:rsidR="00864B89">
        <w:t>. All timeslots t1, t2, t3, t4 must not overlap.</w:t>
      </w:r>
    </w:p>
    <w:p w14:paraId="65671604" w14:textId="71C75A07" w:rsidR="002C22DA" w:rsidRDefault="00CB07A4" w:rsidP="00CB07A4">
      <w:pPr>
        <w:pStyle w:val="BodyText"/>
        <w:jc w:val="center"/>
      </w:pPr>
      <w:r>
        <w:rPr>
          <w:noProof/>
          <w:lang w:val="en-US" w:eastAsia="en-US"/>
        </w:rPr>
        <w:drawing>
          <wp:inline distT="0" distB="0" distL="0" distR="0" wp14:anchorId="0620C3DD" wp14:editId="3206B99F">
            <wp:extent cx="2590800" cy="17926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3091" cy="1794226"/>
                    </a:xfrm>
                    <a:prstGeom prst="rect">
                      <a:avLst/>
                    </a:prstGeom>
                    <a:noFill/>
                  </pic:spPr>
                </pic:pic>
              </a:graphicData>
            </a:graphic>
          </wp:inline>
        </w:drawing>
      </w:r>
      <w:r>
        <w:rPr>
          <w:noProof/>
          <w:lang w:val="en-US" w:eastAsia="en-US"/>
        </w:rPr>
        <w:drawing>
          <wp:inline distT="0" distB="0" distL="0" distR="0" wp14:anchorId="07D5A8A6" wp14:editId="2AB3944A">
            <wp:extent cx="1706400" cy="374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06400" cy="374400"/>
                    </a:xfrm>
                    <a:prstGeom prst="rect">
                      <a:avLst/>
                    </a:prstGeom>
                    <a:noFill/>
                  </pic:spPr>
                </pic:pic>
              </a:graphicData>
            </a:graphic>
          </wp:inline>
        </w:drawing>
      </w:r>
    </w:p>
    <w:p w14:paraId="65671605" w14:textId="556259D3" w:rsidR="004B6F29" w:rsidRDefault="004B6F29" w:rsidP="00F772E5">
      <w:pPr>
        <w:pStyle w:val="BodyText"/>
        <w:jc w:val="center"/>
      </w:pPr>
    </w:p>
    <w:p w14:paraId="65671606" w14:textId="77777777" w:rsidR="00E33C4E" w:rsidRPr="00CE0424" w:rsidRDefault="00E33C4E" w:rsidP="00E33C4E">
      <w:pPr>
        <w:pStyle w:val="Caption"/>
      </w:pPr>
      <w:r w:rsidRPr="00CE0424">
        <w:t xml:space="preserve">Figure </w:t>
      </w:r>
      <w:r w:rsidRPr="00CE0424">
        <w:fldChar w:fldCharType="begin"/>
      </w:r>
      <w:r w:rsidRPr="00CE0424">
        <w:instrText xml:space="preserve"> SEQ Figure \* ARABIC </w:instrText>
      </w:r>
      <w:r w:rsidRPr="00CE0424">
        <w:fldChar w:fldCharType="separate"/>
      </w:r>
      <w:r w:rsidR="004C25D7">
        <w:rPr>
          <w:noProof/>
        </w:rPr>
        <w:t>7</w:t>
      </w:r>
      <w:r w:rsidRPr="00CE0424">
        <w:fldChar w:fldCharType="end"/>
      </w:r>
      <w:r w:rsidRPr="00CE0424">
        <w:t xml:space="preserve">: </w:t>
      </w:r>
      <w:r w:rsidR="00864B89">
        <w:t>T</w:t>
      </w:r>
      <w:r w:rsidRPr="00D01516">
        <w:t xml:space="preserve">DD Operation in IAB </w:t>
      </w:r>
      <w:r>
        <w:t xml:space="preserve">with separation of access and backhaul transmission by non-overlapping time domain scheduling </w:t>
      </w:r>
      <w:r w:rsidR="001A687B">
        <w:t>of UL/DL on access and backhaul links</w:t>
      </w:r>
      <w:r>
        <w:t>.</w:t>
      </w:r>
    </w:p>
    <w:p w14:paraId="65671607" w14:textId="7026877B" w:rsidR="000A59D8" w:rsidRDefault="001A687B" w:rsidP="00D01516">
      <w:pPr>
        <w:pStyle w:val="BodyText"/>
      </w:pPr>
      <w:r>
        <w:lastRenderedPageBreak/>
        <w:t xml:space="preserve">Since the radio of </w:t>
      </w:r>
      <w:r w:rsidR="000D3B7B">
        <w:t>IAB-</w:t>
      </w:r>
      <w:r>
        <w:t>N</w:t>
      </w:r>
      <w:r w:rsidR="000C4207">
        <w:t>s</w:t>
      </w:r>
      <w:r>
        <w:t xml:space="preserve"> that connects to </w:t>
      </w:r>
      <w:r w:rsidR="000C4207">
        <w:t xml:space="preserve">other IAB-Ns or </w:t>
      </w:r>
      <w:r w:rsidR="000D3B7B">
        <w:t>IAB-</w:t>
      </w:r>
      <w:r>
        <w:t xml:space="preserve">DN does not use timeslots </w:t>
      </w:r>
      <w:r w:rsidR="00207969">
        <w:t xml:space="preserve">t1 </w:t>
      </w:r>
      <w:r>
        <w:t xml:space="preserve">and </w:t>
      </w:r>
      <w:r w:rsidR="00207969">
        <w:t>t2</w:t>
      </w:r>
      <w:r>
        <w:t xml:space="preserve"> for backhaul transmission, UEs can be served from the same transceiver without being in the paradox situation that UL (in backhaul) and DL (in access) transmission would apparently been scheduled at the same time.</w:t>
      </w:r>
    </w:p>
    <w:p w14:paraId="11287C49" w14:textId="77777777" w:rsidR="00CB07A4" w:rsidRDefault="00CB07A4" w:rsidP="00D01516">
      <w:pPr>
        <w:pStyle w:val="BodyText"/>
      </w:pPr>
    </w:p>
    <w:p w14:paraId="65671608" w14:textId="2218761F" w:rsidR="000D3B7B" w:rsidRPr="00A04F49" w:rsidRDefault="000D3B7B" w:rsidP="000D3B7B">
      <w:pPr>
        <w:pStyle w:val="Proposal"/>
      </w:pPr>
      <w:bookmarkStart w:id="7" w:name="_Toc503474886"/>
      <w:r>
        <w:t xml:space="preserve">In in-band IAB systems, TDD </w:t>
      </w:r>
      <w:r w:rsidR="00CB07A4">
        <w:t xml:space="preserve">operation </w:t>
      </w:r>
      <w:r>
        <w:t>should be prioritized over FDD.</w:t>
      </w:r>
      <w:bookmarkEnd w:id="7"/>
    </w:p>
    <w:p w14:paraId="65671611" w14:textId="77777777" w:rsidR="003742AC" w:rsidRPr="00CE0424" w:rsidRDefault="003742AC" w:rsidP="006E062C"/>
    <w:p w14:paraId="65671612" w14:textId="77777777" w:rsidR="00C01F33" w:rsidRPr="00CE0424" w:rsidRDefault="00C01F33" w:rsidP="00CE0424">
      <w:pPr>
        <w:pStyle w:val="Heading1"/>
      </w:pPr>
      <w:r w:rsidRPr="00CE0424">
        <w:t>Conclusion</w:t>
      </w:r>
    </w:p>
    <w:p w14:paraId="7C009D7F" w14:textId="77777777" w:rsidR="00CB07A4" w:rsidRDefault="008E065E" w:rsidP="000D3B7B">
      <w:pPr>
        <w:pStyle w:val="BodyText"/>
        <w:rPr>
          <w:noProof/>
        </w:rPr>
      </w:pPr>
      <w:r>
        <w:t xml:space="preserve">In section </w:t>
      </w:r>
      <w:r w:rsidR="00892F11">
        <w:t>3</w:t>
      </w:r>
      <w:r w:rsidRPr="00CE0424">
        <w:t xml:space="preserve"> we </w:t>
      </w:r>
      <w:r>
        <w:t>made the following observations</w:t>
      </w:r>
      <w:r w:rsidRPr="00CE0424">
        <w:t>:</w:t>
      </w:r>
      <w:r w:rsidR="000D3B7B">
        <w:rPr>
          <w:b/>
          <w:bCs/>
        </w:rPr>
        <w:fldChar w:fldCharType="begin"/>
      </w:r>
      <w:r w:rsidR="000D3B7B">
        <w:rPr>
          <w:b/>
          <w:bCs/>
        </w:rPr>
        <w:instrText xml:space="preserve"> TOC \f \n \t "Observation;1" </w:instrText>
      </w:r>
      <w:r w:rsidR="000D3B7B">
        <w:rPr>
          <w:b/>
          <w:bCs/>
        </w:rPr>
        <w:fldChar w:fldCharType="separate"/>
      </w:r>
    </w:p>
    <w:p w14:paraId="3EA71383" w14:textId="77777777" w:rsidR="00CB07A4" w:rsidRDefault="00CB07A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out-band IAB, transceivers in the backhaul and access can be isolated by spatial separation or frequency filters. Access and backhaul links can be operated independently.</w:t>
      </w:r>
    </w:p>
    <w:p w14:paraId="2AA46487" w14:textId="77777777" w:rsidR="00CB07A4" w:rsidRDefault="00CB07A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Complexity in IAB nodes operated in FDD is significantly higher than in IAB donor nodes.</w:t>
      </w:r>
    </w:p>
    <w:p w14:paraId="7FB16402" w14:textId="77777777" w:rsidR="00CB07A4" w:rsidRDefault="00CB07A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IAB nodes operating in FDD and preventing self-interference can become equivalent to TDD operated sys</w:t>
      </w:r>
      <w:bookmarkStart w:id="8" w:name="_GoBack"/>
      <w:bookmarkEnd w:id="8"/>
      <w:r>
        <w:t>tems.</w:t>
      </w:r>
    </w:p>
    <w:p w14:paraId="3B9B7DCE" w14:textId="77777777" w:rsidR="00CB07A4" w:rsidRDefault="000D3B7B" w:rsidP="008E065E">
      <w:pPr>
        <w:pStyle w:val="BodyText"/>
        <w:rPr>
          <w:b/>
          <w:bCs/>
        </w:rPr>
      </w:pPr>
      <w:r>
        <w:rPr>
          <w:b/>
          <w:bCs/>
        </w:rPr>
        <w:fldChar w:fldCharType="end"/>
      </w:r>
    </w:p>
    <w:p w14:paraId="6CC6B42B" w14:textId="77777777" w:rsidR="00CB07A4" w:rsidRDefault="008E065E" w:rsidP="008E065E">
      <w:pPr>
        <w:pStyle w:val="BodyText"/>
        <w:rPr>
          <w:noProof/>
        </w:rPr>
      </w:pPr>
      <w:r w:rsidRPr="00CE0424">
        <w:t xml:space="preserve">Based on the discussion in section </w:t>
      </w:r>
      <w:r w:rsidR="00892F11">
        <w:t>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DFAB9A7" w14:textId="77777777" w:rsidR="00CB07A4" w:rsidRDefault="00CB07A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in-band IAB systems, TDD operation should be prioritized over FDD.</w:t>
      </w:r>
    </w:p>
    <w:p w14:paraId="6567161A" w14:textId="77777777" w:rsidR="008E065E" w:rsidRPr="00CE0424" w:rsidRDefault="008E065E" w:rsidP="008E065E">
      <w:pPr>
        <w:rPr>
          <w:b/>
          <w:bCs/>
        </w:rPr>
      </w:pPr>
      <w:r>
        <w:rPr>
          <w:b/>
          <w:bCs/>
        </w:rPr>
        <w:fldChar w:fldCharType="end"/>
      </w:r>
    </w:p>
    <w:p w14:paraId="6567161F" w14:textId="77777777" w:rsidR="003A7EF3" w:rsidRPr="00CE0424" w:rsidRDefault="003A7EF3" w:rsidP="00CE0424">
      <w:pPr>
        <w:pStyle w:val="BodyText"/>
      </w:pPr>
    </w:p>
    <w:sectPr w:rsidR="003A7EF3" w:rsidRPr="00CE042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7D266" w14:textId="77777777" w:rsidR="000B1B93" w:rsidRDefault="000B1B93">
      <w:r>
        <w:separator/>
      </w:r>
    </w:p>
  </w:endnote>
  <w:endnote w:type="continuationSeparator" w:id="0">
    <w:p w14:paraId="59CD1A69" w14:textId="77777777" w:rsidR="000B1B93" w:rsidRDefault="000B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63F" w14:textId="732A43B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54A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4A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31E29" w14:textId="77777777" w:rsidR="000B1B93" w:rsidRDefault="000B1B93">
      <w:r>
        <w:separator/>
      </w:r>
    </w:p>
  </w:footnote>
  <w:footnote w:type="continuationSeparator" w:id="0">
    <w:p w14:paraId="54F1578C" w14:textId="77777777" w:rsidR="000B1B93" w:rsidRDefault="000B1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63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1421D"/>
    <w:multiLevelType w:val="hybridMultilevel"/>
    <w:tmpl w:val="499C4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46A5FF3"/>
    <w:multiLevelType w:val="hybridMultilevel"/>
    <w:tmpl w:val="8572D61A"/>
    <w:lvl w:ilvl="0" w:tplc="C2082680">
      <w:start w:val="18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68"/>
    <w:rsid w:val="000006E1"/>
    <w:rsid w:val="00002A37"/>
    <w:rsid w:val="000039F4"/>
    <w:rsid w:val="00006446"/>
    <w:rsid w:val="00006896"/>
    <w:rsid w:val="00007CDC"/>
    <w:rsid w:val="00011B28"/>
    <w:rsid w:val="00015D15"/>
    <w:rsid w:val="00022CED"/>
    <w:rsid w:val="0002564D"/>
    <w:rsid w:val="00025ECA"/>
    <w:rsid w:val="000325B8"/>
    <w:rsid w:val="00034C15"/>
    <w:rsid w:val="00035A39"/>
    <w:rsid w:val="00035F2C"/>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AC6"/>
    <w:rsid w:val="00085B52"/>
    <w:rsid w:val="000866F2"/>
    <w:rsid w:val="0009009F"/>
    <w:rsid w:val="00091557"/>
    <w:rsid w:val="000924C1"/>
    <w:rsid w:val="000924F0"/>
    <w:rsid w:val="00093474"/>
    <w:rsid w:val="0009510F"/>
    <w:rsid w:val="000A1A8F"/>
    <w:rsid w:val="000A1B7B"/>
    <w:rsid w:val="000A56F2"/>
    <w:rsid w:val="000A59D8"/>
    <w:rsid w:val="000B1B93"/>
    <w:rsid w:val="000B2719"/>
    <w:rsid w:val="000B3A8F"/>
    <w:rsid w:val="000B4259"/>
    <w:rsid w:val="000B4AB9"/>
    <w:rsid w:val="000B58C3"/>
    <w:rsid w:val="000B61E9"/>
    <w:rsid w:val="000C165A"/>
    <w:rsid w:val="000C2E19"/>
    <w:rsid w:val="000C4207"/>
    <w:rsid w:val="000D0D07"/>
    <w:rsid w:val="000D3B7B"/>
    <w:rsid w:val="000D4797"/>
    <w:rsid w:val="000E0527"/>
    <w:rsid w:val="000E1E92"/>
    <w:rsid w:val="000E2198"/>
    <w:rsid w:val="000E3C3F"/>
    <w:rsid w:val="000F06D6"/>
    <w:rsid w:val="000F0EB1"/>
    <w:rsid w:val="000F1106"/>
    <w:rsid w:val="000F1D5A"/>
    <w:rsid w:val="000F3BE9"/>
    <w:rsid w:val="000F3F6C"/>
    <w:rsid w:val="000F6DF3"/>
    <w:rsid w:val="001005FF"/>
    <w:rsid w:val="0010525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49E"/>
    <w:rsid w:val="0018143F"/>
    <w:rsid w:val="00190AC1"/>
    <w:rsid w:val="0019341A"/>
    <w:rsid w:val="00197DF9"/>
    <w:rsid w:val="001A1987"/>
    <w:rsid w:val="001A2564"/>
    <w:rsid w:val="001A6173"/>
    <w:rsid w:val="001A687B"/>
    <w:rsid w:val="001A6CBA"/>
    <w:rsid w:val="001B0D97"/>
    <w:rsid w:val="001B4884"/>
    <w:rsid w:val="001B5A5D"/>
    <w:rsid w:val="001C0058"/>
    <w:rsid w:val="001C1CE5"/>
    <w:rsid w:val="001C3D2A"/>
    <w:rsid w:val="001D453E"/>
    <w:rsid w:val="001D51BA"/>
    <w:rsid w:val="001D6342"/>
    <w:rsid w:val="001D6D53"/>
    <w:rsid w:val="001E58E2"/>
    <w:rsid w:val="001E7AED"/>
    <w:rsid w:val="001F3916"/>
    <w:rsid w:val="001F54C5"/>
    <w:rsid w:val="001F662C"/>
    <w:rsid w:val="001F7074"/>
    <w:rsid w:val="00200490"/>
    <w:rsid w:val="00201F3A"/>
    <w:rsid w:val="00203F96"/>
    <w:rsid w:val="002069B2"/>
    <w:rsid w:val="00207969"/>
    <w:rsid w:val="00207FA3"/>
    <w:rsid w:val="00214DA8"/>
    <w:rsid w:val="00215423"/>
    <w:rsid w:val="002158FA"/>
    <w:rsid w:val="00220600"/>
    <w:rsid w:val="002224DB"/>
    <w:rsid w:val="00223FCB"/>
    <w:rsid w:val="002252C3"/>
    <w:rsid w:val="00225C54"/>
    <w:rsid w:val="00230765"/>
    <w:rsid w:val="002319E4"/>
    <w:rsid w:val="00233E92"/>
    <w:rsid w:val="00235632"/>
    <w:rsid w:val="00235872"/>
    <w:rsid w:val="00241559"/>
    <w:rsid w:val="002435B3"/>
    <w:rsid w:val="002458EB"/>
    <w:rsid w:val="002500C8"/>
    <w:rsid w:val="00256492"/>
    <w:rsid w:val="00256EF6"/>
    <w:rsid w:val="00257543"/>
    <w:rsid w:val="002617E7"/>
    <w:rsid w:val="00264228"/>
    <w:rsid w:val="00264334"/>
    <w:rsid w:val="0026473E"/>
    <w:rsid w:val="00266214"/>
    <w:rsid w:val="00267C83"/>
    <w:rsid w:val="0027144F"/>
    <w:rsid w:val="00271F3A"/>
    <w:rsid w:val="00273278"/>
    <w:rsid w:val="002737F4"/>
    <w:rsid w:val="00277C74"/>
    <w:rsid w:val="002805F5"/>
    <w:rsid w:val="00280751"/>
    <w:rsid w:val="00280DD1"/>
    <w:rsid w:val="0028280A"/>
    <w:rsid w:val="00282EEC"/>
    <w:rsid w:val="00286ACD"/>
    <w:rsid w:val="00287838"/>
    <w:rsid w:val="002907B5"/>
    <w:rsid w:val="00292EB7"/>
    <w:rsid w:val="00293088"/>
    <w:rsid w:val="00296227"/>
    <w:rsid w:val="00296F44"/>
    <w:rsid w:val="0029777D"/>
    <w:rsid w:val="002A055E"/>
    <w:rsid w:val="002A1D4E"/>
    <w:rsid w:val="002A2869"/>
    <w:rsid w:val="002B24D6"/>
    <w:rsid w:val="002B648A"/>
    <w:rsid w:val="002C22DA"/>
    <w:rsid w:val="002C25ED"/>
    <w:rsid w:val="002C41E6"/>
    <w:rsid w:val="002D071A"/>
    <w:rsid w:val="002D34B2"/>
    <w:rsid w:val="002D7637"/>
    <w:rsid w:val="002E17F2"/>
    <w:rsid w:val="002E6EC1"/>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0F6"/>
    <w:rsid w:val="0035491B"/>
    <w:rsid w:val="00357380"/>
    <w:rsid w:val="003602D9"/>
    <w:rsid w:val="003604CE"/>
    <w:rsid w:val="00370E47"/>
    <w:rsid w:val="003742AC"/>
    <w:rsid w:val="00377CE1"/>
    <w:rsid w:val="00381447"/>
    <w:rsid w:val="00385BF0"/>
    <w:rsid w:val="00392F93"/>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0B3"/>
    <w:rsid w:val="003C6635"/>
    <w:rsid w:val="003C7806"/>
    <w:rsid w:val="003D109F"/>
    <w:rsid w:val="003D2478"/>
    <w:rsid w:val="003D3C45"/>
    <w:rsid w:val="003D5B1F"/>
    <w:rsid w:val="003E0EF5"/>
    <w:rsid w:val="003E15FA"/>
    <w:rsid w:val="003E55E4"/>
    <w:rsid w:val="003E74E3"/>
    <w:rsid w:val="003F05C7"/>
    <w:rsid w:val="003F2CD4"/>
    <w:rsid w:val="003F6BBE"/>
    <w:rsid w:val="003F7064"/>
    <w:rsid w:val="004000E8"/>
    <w:rsid w:val="00402E2B"/>
    <w:rsid w:val="0040512B"/>
    <w:rsid w:val="00405CA5"/>
    <w:rsid w:val="00407CD3"/>
    <w:rsid w:val="00410134"/>
    <w:rsid w:val="00410B72"/>
    <w:rsid w:val="00410F18"/>
    <w:rsid w:val="0041263E"/>
    <w:rsid w:val="00413AAC"/>
    <w:rsid w:val="0041416C"/>
    <w:rsid w:val="00420368"/>
    <w:rsid w:val="00421105"/>
    <w:rsid w:val="004242F4"/>
    <w:rsid w:val="00427248"/>
    <w:rsid w:val="00437447"/>
    <w:rsid w:val="004412C3"/>
    <w:rsid w:val="00441A92"/>
    <w:rsid w:val="00444F56"/>
    <w:rsid w:val="00446488"/>
    <w:rsid w:val="004517AA"/>
    <w:rsid w:val="00452CAC"/>
    <w:rsid w:val="00457565"/>
    <w:rsid w:val="00457B71"/>
    <w:rsid w:val="004669E2"/>
    <w:rsid w:val="00470AF3"/>
    <w:rsid w:val="00470C31"/>
    <w:rsid w:val="004734D0"/>
    <w:rsid w:val="0047556B"/>
    <w:rsid w:val="00475A74"/>
    <w:rsid w:val="00477768"/>
    <w:rsid w:val="00480FE8"/>
    <w:rsid w:val="00492BC5"/>
    <w:rsid w:val="0049533B"/>
    <w:rsid w:val="004964F1"/>
    <w:rsid w:val="004A16BC"/>
    <w:rsid w:val="004A2B94"/>
    <w:rsid w:val="004B6F29"/>
    <w:rsid w:val="004B7C0C"/>
    <w:rsid w:val="004C25D7"/>
    <w:rsid w:val="004C2DB9"/>
    <w:rsid w:val="004C3156"/>
    <w:rsid w:val="004C3898"/>
    <w:rsid w:val="004D36B1"/>
    <w:rsid w:val="004D7EBD"/>
    <w:rsid w:val="004E0C92"/>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F60"/>
    <w:rsid w:val="00534B59"/>
    <w:rsid w:val="00536759"/>
    <w:rsid w:val="00537C62"/>
    <w:rsid w:val="00546970"/>
    <w:rsid w:val="00554E19"/>
    <w:rsid w:val="0056121F"/>
    <w:rsid w:val="00572505"/>
    <w:rsid w:val="00582809"/>
    <w:rsid w:val="0058798C"/>
    <w:rsid w:val="005900FA"/>
    <w:rsid w:val="00592691"/>
    <w:rsid w:val="005935A4"/>
    <w:rsid w:val="005948C2"/>
    <w:rsid w:val="00595DCA"/>
    <w:rsid w:val="0059779B"/>
    <w:rsid w:val="005A209A"/>
    <w:rsid w:val="005A54AB"/>
    <w:rsid w:val="005A662D"/>
    <w:rsid w:val="005B03A6"/>
    <w:rsid w:val="005B35D7"/>
    <w:rsid w:val="005B392A"/>
    <w:rsid w:val="005B3AA3"/>
    <w:rsid w:val="005B591A"/>
    <w:rsid w:val="005B6F83"/>
    <w:rsid w:val="005C2A93"/>
    <w:rsid w:val="005C74FB"/>
    <w:rsid w:val="005D1602"/>
    <w:rsid w:val="005E385F"/>
    <w:rsid w:val="005E5B81"/>
    <w:rsid w:val="005F2CB1"/>
    <w:rsid w:val="005F3025"/>
    <w:rsid w:val="005F4A94"/>
    <w:rsid w:val="005F618C"/>
    <w:rsid w:val="005F70BD"/>
    <w:rsid w:val="00600694"/>
    <w:rsid w:val="0060283C"/>
    <w:rsid w:val="00604F14"/>
    <w:rsid w:val="00611B83"/>
    <w:rsid w:val="00613257"/>
    <w:rsid w:val="00620A71"/>
    <w:rsid w:val="00620D80"/>
    <w:rsid w:val="006234A6"/>
    <w:rsid w:val="00630001"/>
    <w:rsid w:val="006311B3"/>
    <w:rsid w:val="00631CA0"/>
    <w:rsid w:val="0063284C"/>
    <w:rsid w:val="006346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02D"/>
    <w:rsid w:val="006634E6"/>
    <w:rsid w:val="0066377C"/>
    <w:rsid w:val="006655EE"/>
    <w:rsid w:val="00665EE9"/>
    <w:rsid w:val="00667EE7"/>
    <w:rsid w:val="00670922"/>
    <w:rsid w:val="00670BE1"/>
    <w:rsid w:val="0067218F"/>
    <w:rsid w:val="00673F0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881"/>
    <w:rsid w:val="0070346E"/>
    <w:rsid w:val="00704EDB"/>
    <w:rsid w:val="00706101"/>
    <w:rsid w:val="00707072"/>
    <w:rsid w:val="00707D61"/>
    <w:rsid w:val="00712287"/>
    <w:rsid w:val="00712772"/>
    <w:rsid w:val="007128D9"/>
    <w:rsid w:val="00713A5A"/>
    <w:rsid w:val="007148D3"/>
    <w:rsid w:val="00715B9A"/>
    <w:rsid w:val="00726EA6"/>
    <w:rsid w:val="00727208"/>
    <w:rsid w:val="00727680"/>
    <w:rsid w:val="00727F1C"/>
    <w:rsid w:val="007348B1"/>
    <w:rsid w:val="007362A6"/>
    <w:rsid w:val="00736D7D"/>
    <w:rsid w:val="00740E58"/>
    <w:rsid w:val="007445A0"/>
    <w:rsid w:val="0074524B"/>
    <w:rsid w:val="00747D8B"/>
    <w:rsid w:val="00750F4C"/>
    <w:rsid w:val="00751228"/>
    <w:rsid w:val="007571E1"/>
    <w:rsid w:val="007574CD"/>
    <w:rsid w:val="007604B2"/>
    <w:rsid w:val="00765281"/>
    <w:rsid w:val="00766BAD"/>
    <w:rsid w:val="00771301"/>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DE1"/>
    <w:rsid w:val="00811FCB"/>
    <w:rsid w:val="008158D6"/>
    <w:rsid w:val="00817196"/>
    <w:rsid w:val="008235DB"/>
    <w:rsid w:val="00824AB4"/>
    <w:rsid w:val="00825C42"/>
    <w:rsid w:val="00825D25"/>
    <w:rsid w:val="00826C69"/>
    <w:rsid w:val="00827D6F"/>
    <w:rsid w:val="008360FF"/>
    <w:rsid w:val="008376AC"/>
    <w:rsid w:val="008444E8"/>
    <w:rsid w:val="00844E80"/>
    <w:rsid w:val="00846FE7"/>
    <w:rsid w:val="00847D8A"/>
    <w:rsid w:val="00854F97"/>
    <w:rsid w:val="00856911"/>
    <w:rsid w:val="00856B94"/>
    <w:rsid w:val="008645B9"/>
    <w:rsid w:val="00864B89"/>
    <w:rsid w:val="008677FD"/>
    <w:rsid w:val="008706D4"/>
    <w:rsid w:val="00870F8A"/>
    <w:rsid w:val="008719A4"/>
    <w:rsid w:val="00871D23"/>
    <w:rsid w:val="0087338B"/>
    <w:rsid w:val="00873DB0"/>
    <w:rsid w:val="00874312"/>
    <w:rsid w:val="0087437C"/>
    <w:rsid w:val="00875CD7"/>
    <w:rsid w:val="00876B4D"/>
    <w:rsid w:val="00877F18"/>
    <w:rsid w:val="00892F11"/>
    <w:rsid w:val="00894A88"/>
    <w:rsid w:val="00895386"/>
    <w:rsid w:val="008A21FF"/>
    <w:rsid w:val="008A2CE2"/>
    <w:rsid w:val="008A30AC"/>
    <w:rsid w:val="008A44B8"/>
    <w:rsid w:val="008A51A8"/>
    <w:rsid w:val="008A54C7"/>
    <w:rsid w:val="008A556B"/>
    <w:rsid w:val="008A77D8"/>
    <w:rsid w:val="008B0483"/>
    <w:rsid w:val="008B120C"/>
    <w:rsid w:val="008B4F46"/>
    <w:rsid w:val="008B51A0"/>
    <w:rsid w:val="008B592A"/>
    <w:rsid w:val="008B7B5C"/>
    <w:rsid w:val="008C05A8"/>
    <w:rsid w:val="008C0C99"/>
    <w:rsid w:val="008C2017"/>
    <w:rsid w:val="008C4958"/>
    <w:rsid w:val="008C4BAA"/>
    <w:rsid w:val="008C6AE8"/>
    <w:rsid w:val="008C7573"/>
    <w:rsid w:val="008D34F1"/>
    <w:rsid w:val="008D39D8"/>
    <w:rsid w:val="008D6D1A"/>
    <w:rsid w:val="008E065E"/>
    <w:rsid w:val="008E0927"/>
    <w:rsid w:val="008E1909"/>
    <w:rsid w:val="008E7AB3"/>
    <w:rsid w:val="008F1EAB"/>
    <w:rsid w:val="008F33DC"/>
    <w:rsid w:val="008F477F"/>
    <w:rsid w:val="008F79B5"/>
    <w:rsid w:val="00902350"/>
    <w:rsid w:val="0090336B"/>
    <w:rsid w:val="009053AA"/>
    <w:rsid w:val="00906939"/>
    <w:rsid w:val="00910B7D"/>
    <w:rsid w:val="00911DFB"/>
    <w:rsid w:val="009139D9"/>
    <w:rsid w:val="00914AD8"/>
    <w:rsid w:val="00914DB8"/>
    <w:rsid w:val="00916079"/>
    <w:rsid w:val="00917CE9"/>
    <w:rsid w:val="00920BF2"/>
    <w:rsid w:val="00922010"/>
    <w:rsid w:val="00924DED"/>
    <w:rsid w:val="00931BD9"/>
    <w:rsid w:val="009368F3"/>
    <w:rsid w:val="0093751B"/>
    <w:rsid w:val="00940B2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34D"/>
    <w:rsid w:val="0098243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59B"/>
    <w:rsid w:val="009C403E"/>
    <w:rsid w:val="009D4FF0"/>
    <w:rsid w:val="009D703C"/>
    <w:rsid w:val="009D718F"/>
    <w:rsid w:val="009E068F"/>
    <w:rsid w:val="009E14E0"/>
    <w:rsid w:val="009E35DB"/>
    <w:rsid w:val="009E47A3"/>
    <w:rsid w:val="009F08F3"/>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C8A"/>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7B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080"/>
    <w:rsid w:val="00B02AA9"/>
    <w:rsid w:val="00B02FA3"/>
    <w:rsid w:val="00B05084"/>
    <w:rsid w:val="00B157F9"/>
    <w:rsid w:val="00B16004"/>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3860"/>
    <w:rsid w:val="00B85DE5"/>
    <w:rsid w:val="00B90F73"/>
    <w:rsid w:val="00B93B59"/>
    <w:rsid w:val="00B9406A"/>
    <w:rsid w:val="00BA2280"/>
    <w:rsid w:val="00BA2A08"/>
    <w:rsid w:val="00BA56D2"/>
    <w:rsid w:val="00BA5DBB"/>
    <w:rsid w:val="00BA76E0"/>
    <w:rsid w:val="00BB2A25"/>
    <w:rsid w:val="00BB4E84"/>
    <w:rsid w:val="00BB51E9"/>
    <w:rsid w:val="00BC0FDC"/>
    <w:rsid w:val="00BC13EB"/>
    <w:rsid w:val="00BC3053"/>
    <w:rsid w:val="00BC4D2E"/>
    <w:rsid w:val="00BD48AC"/>
    <w:rsid w:val="00BD5F1A"/>
    <w:rsid w:val="00BE1234"/>
    <w:rsid w:val="00BE2FA6"/>
    <w:rsid w:val="00BE333F"/>
    <w:rsid w:val="00BE7406"/>
    <w:rsid w:val="00BE7603"/>
    <w:rsid w:val="00BF3279"/>
    <w:rsid w:val="00BF4B03"/>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822"/>
    <w:rsid w:val="00C279B5"/>
    <w:rsid w:val="00C27C45"/>
    <w:rsid w:val="00C3719D"/>
    <w:rsid w:val="00C404F4"/>
    <w:rsid w:val="00C43D5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07A4"/>
    <w:rsid w:val="00CB1438"/>
    <w:rsid w:val="00CB1F63"/>
    <w:rsid w:val="00CB7170"/>
    <w:rsid w:val="00CC040E"/>
    <w:rsid w:val="00CC111F"/>
    <w:rsid w:val="00CC2011"/>
    <w:rsid w:val="00CC3EA0"/>
    <w:rsid w:val="00CC7B45"/>
    <w:rsid w:val="00CD1188"/>
    <w:rsid w:val="00CD1534"/>
    <w:rsid w:val="00CD2ED1"/>
    <w:rsid w:val="00CD337B"/>
    <w:rsid w:val="00CE0424"/>
    <w:rsid w:val="00CE0AF0"/>
    <w:rsid w:val="00CE7561"/>
    <w:rsid w:val="00CF1354"/>
    <w:rsid w:val="00CF3B1F"/>
    <w:rsid w:val="00CF3BF6"/>
    <w:rsid w:val="00CF625B"/>
    <w:rsid w:val="00CF687E"/>
    <w:rsid w:val="00D01516"/>
    <w:rsid w:val="00D0349B"/>
    <w:rsid w:val="00D10249"/>
    <w:rsid w:val="00D115C3"/>
    <w:rsid w:val="00D11897"/>
    <w:rsid w:val="00D13135"/>
    <w:rsid w:val="00D13E4E"/>
    <w:rsid w:val="00D2325E"/>
    <w:rsid w:val="00D239A7"/>
    <w:rsid w:val="00D23F47"/>
    <w:rsid w:val="00D36E71"/>
    <w:rsid w:val="00D37D87"/>
    <w:rsid w:val="00D40B33"/>
    <w:rsid w:val="00D4318F"/>
    <w:rsid w:val="00D438BF"/>
    <w:rsid w:val="00D440F8"/>
    <w:rsid w:val="00D5093B"/>
    <w:rsid w:val="00D50F97"/>
    <w:rsid w:val="00D546FF"/>
    <w:rsid w:val="00D55AD5"/>
    <w:rsid w:val="00D576CA"/>
    <w:rsid w:val="00D61AF5"/>
    <w:rsid w:val="00D652B5"/>
    <w:rsid w:val="00D66155"/>
    <w:rsid w:val="00D671A5"/>
    <w:rsid w:val="00D708B0"/>
    <w:rsid w:val="00D77B1D"/>
    <w:rsid w:val="00D8021F"/>
    <w:rsid w:val="00D80383"/>
    <w:rsid w:val="00D823C6"/>
    <w:rsid w:val="00D86CA3"/>
    <w:rsid w:val="00D871CE"/>
    <w:rsid w:val="00D9196D"/>
    <w:rsid w:val="00D92982"/>
    <w:rsid w:val="00D93BF1"/>
    <w:rsid w:val="00D962D6"/>
    <w:rsid w:val="00DA305E"/>
    <w:rsid w:val="00DA5417"/>
    <w:rsid w:val="00DA56E8"/>
    <w:rsid w:val="00DB0A9F"/>
    <w:rsid w:val="00DB377D"/>
    <w:rsid w:val="00DC2D36"/>
    <w:rsid w:val="00DC53EF"/>
    <w:rsid w:val="00DD57B5"/>
    <w:rsid w:val="00DE1BC7"/>
    <w:rsid w:val="00DE2F5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53D"/>
    <w:rsid w:val="00E32608"/>
    <w:rsid w:val="00E33C4E"/>
    <w:rsid w:val="00E34188"/>
    <w:rsid w:val="00E34B6E"/>
    <w:rsid w:val="00E35559"/>
    <w:rsid w:val="00E3723A"/>
    <w:rsid w:val="00E37860"/>
    <w:rsid w:val="00E427FC"/>
    <w:rsid w:val="00E446F1"/>
    <w:rsid w:val="00E46886"/>
    <w:rsid w:val="00E47AEF"/>
    <w:rsid w:val="00E53B75"/>
    <w:rsid w:val="00E54E3B"/>
    <w:rsid w:val="00E57565"/>
    <w:rsid w:val="00E63838"/>
    <w:rsid w:val="00E64434"/>
    <w:rsid w:val="00E67C51"/>
    <w:rsid w:val="00E713BC"/>
    <w:rsid w:val="00E72EFC"/>
    <w:rsid w:val="00E758EC"/>
    <w:rsid w:val="00E8234C"/>
    <w:rsid w:val="00E83AA9"/>
    <w:rsid w:val="00E8428E"/>
    <w:rsid w:val="00E85928"/>
    <w:rsid w:val="00E86E2D"/>
    <w:rsid w:val="00E87822"/>
    <w:rsid w:val="00E90395"/>
    <w:rsid w:val="00E90E49"/>
    <w:rsid w:val="00E917F9"/>
    <w:rsid w:val="00E9291C"/>
    <w:rsid w:val="00E93FFE"/>
    <w:rsid w:val="00E94F8A"/>
    <w:rsid w:val="00EA7A41"/>
    <w:rsid w:val="00EB077B"/>
    <w:rsid w:val="00EB0E99"/>
    <w:rsid w:val="00EB4EA2"/>
    <w:rsid w:val="00EC27C6"/>
    <w:rsid w:val="00EC4207"/>
    <w:rsid w:val="00EC5653"/>
    <w:rsid w:val="00EC71CE"/>
    <w:rsid w:val="00ED08A1"/>
    <w:rsid w:val="00ED1006"/>
    <w:rsid w:val="00EF18FE"/>
    <w:rsid w:val="00EF3106"/>
    <w:rsid w:val="00EF5787"/>
    <w:rsid w:val="00EF60D0"/>
    <w:rsid w:val="00F0528D"/>
    <w:rsid w:val="00F06C67"/>
    <w:rsid w:val="00F06DFD"/>
    <w:rsid w:val="00F071D1"/>
    <w:rsid w:val="00F07533"/>
    <w:rsid w:val="00F10629"/>
    <w:rsid w:val="00F15FA5"/>
    <w:rsid w:val="00F209B7"/>
    <w:rsid w:val="00F2376F"/>
    <w:rsid w:val="00F243D8"/>
    <w:rsid w:val="00F24C54"/>
    <w:rsid w:val="00F30828"/>
    <w:rsid w:val="00F313D6"/>
    <w:rsid w:val="00F40214"/>
    <w:rsid w:val="00F40F0C"/>
    <w:rsid w:val="00F4766C"/>
    <w:rsid w:val="00F507D1"/>
    <w:rsid w:val="00F519CE"/>
    <w:rsid w:val="00F51ADA"/>
    <w:rsid w:val="00F51AF9"/>
    <w:rsid w:val="00F607C5"/>
    <w:rsid w:val="00F60DEA"/>
    <w:rsid w:val="00F62DEE"/>
    <w:rsid w:val="00F6302A"/>
    <w:rsid w:val="00F64C2B"/>
    <w:rsid w:val="00F651BE"/>
    <w:rsid w:val="00F67F53"/>
    <w:rsid w:val="00F703BE"/>
    <w:rsid w:val="00F71F69"/>
    <w:rsid w:val="00F72B72"/>
    <w:rsid w:val="00F74BB9"/>
    <w:rsid w:val="00F75582"/>
    <w:rsid w:val="00F76EFA"/>
    <w:rsid w:val="00F772E5"/>
    <w:rsid w:val="00F804BE"/>
    <w:rsid w:val="00F817CE"/>
    <w:rsid w:val="00F8456C"/>
    <w:rsid w:val="00F859D8"/>
    <w:rsid w:val="00F868F5"/>
    <w:rsid w:val="00F9056A"/>
    <w:rsid w:val="00F90F8D"/>
    <w:rsid w:val="00F92782"/>
    <w:rsid w:val="00F93AA9"/>
    <w:rsid w:val="00F95746"/>
    <w:rsid w:val="00F96985"/>
    <w:rsid w:val="00F97838"/>
    <w:rsid w:val="00FA12BC"/>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715BC"/>
  <w15:docId w15:val="{D8B98FD1-FB36-4B6F-A062-BF85E4AEC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5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375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375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751B"/>
    <w:pPr>
      <w:numPr>
        <w:ilvl w:val="2"/>
      </w:numPr>
      <w:spacing w:before="120"/>
      <w:outlineLvl w:val="2"/>
    </w:pPr>
    <w:rPr>
      <w:sz w:val="28"/>
      <w:szCs w:val="28"/>
    </w:rPr>
  </w:style>
  <w:style w:type="paragraph" w:styleId="Heading4">
    <w:name w:val="heading 4"/>
    <w:basedOn w:val="Heading3"/>
    <w:next w:val="Normal"/>
    <w:qFormat/>
    <w:rsid w:val="0093751B"/>
    <w:pPr>
      <w:numPr>
        <w:ilvl w:val="3"/>
      </w:numPr>
      <w:outlineLvl w:val="3"/>
    </w:pPr>
    <w:rPr>
      <w:sz w:val="24"/>
      <w:szCs w:val="24"/>
    </w:rPr>
  </w:style>
  <w:style w:type="paragraph" w:styleId="Heading5">
    <w:name w:val="heading 5"/>
    <w:basedOn w:val="Heading4"/>
    <w:next w:val="Normal"/>
    <w:qFormat/>
    <w:rsid w:val="0093751B"/>
    <w:pPr>
      <w:numPr>
        <w:ilvl w:val="4"/>
      </w:numPr>
      <w:outlineLvl w:val="4"/>
    </w:pPr>
    <w:rPr>
      <w:sz w:val="22"/>
      <w:szCs w:val="22"/>
    </w:rPr>
  </w:style>
  <w:style w:type="paragraph" w:styleId="Heading6">
    <w:name w:val="heading 6"/>
    <w:basedOn w:val="Normal"/>
    <w:next w:val="Normal"/>
    <w:qFormat/>
    <w:rsid w:val="0093751B"/>
    <w:pPr>
      <w:keepNext/>
      <w:keepLines/>
      <w:numPr>
        <w:ilvl w:val="5"/>
        <w:numId w:val="1"/>
      </w:numPr>
      <w:spacing w:before="120"/>
      <w:outlineLvl w:val="5"/>
    </w:pPr>
    <w:rPr>
      <w:rFonts w:cs="Arial"/>
    </w:rPr>
  </w:style>
  <w:style w:type="paragraph" w:styleId="Heading7">
    <w:name w:val="heading 7"/>
    <w:basedOn w:val="Normal"/>
    <w:next w:val="Normal"/>
    <w:qFormat/>
    <w:rsid w:val="0093751B"/>
    <w:pPr>
      <w:keepNext/>
      <w:keepLines/>
      <w:numPr>
        <w:ilvl w:val="6"/>
        <w:numId w:val="1"/>
      </w:numPr>
      <w:spacing w:before="120"/>
      <w:outlineLvl w:val="6"/>
    </w:pPr>
    <w:rPr>
      <w:rFonts w:cs="Arial"/>
    </w:rPr>
  </w:style>
  <w:style w:type="paragraph" w:styleId="Heading8">
    <w:name w:val="heading 8"/>
    <w:basedOn w:val="Heading7"/>
    <w:next w:val="Normal"/>
    <w:qFormat/>
    <w:rsid w:val="0093751B"/>
    <w:pPr>
      <w:numPr>
        <w:ilvl w:val="7"/>
      </w:numPr>
      <w:outlineLvl w:val="7"/>
    </w:pPr>
  </w:style>
  <w:style w:type="paragraph" w:styleId="Heading9">
    <w:name w:val="heading 9"/>
    <w:basedOn w:val="Heading8"/>
    <w:next w:val="Normal"/>
    <w:qFormat/>
    <w:rsid w:val="009375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3751B"/>
    <w:pPr>
      <w:spacing w:before="180"/>
      <w:ind w:left="2693" w:hanging="2693"/>
    </w:pPr>
    <w:rPr>
      <w:b w:val="0"/>
      <w:bCs/>
    </w:rPr>
  </w:style>
  <w:style w:type="paragraph" w:styleId="TOC1">
    <w:name w:val="toc 1"/>
    <w:aliases w:val="Observation TOC2"/>
    <w:uiPriority w:val="39"/>
    <w:rsid w:val="009375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3751B"/>
    <w:pPr>
      <w:keepNext/>
      <w:keepLines/>
      <w:spacing w:before="180"/>
      <w:jc w:val="center"/>
    </w:pPr>
  </w:style>
  <w:style w:type="paragraph" w:styleId="Caption">
    <w:name w:val="caption"/>
    <w:basedOn w:val="Normal"/>
    <w:next w:val="Normal"/>
    <w:qFormat/>
    <w:rsid w:val="0093751B"/>
    <w:pPr>
      <w:spacing w:after="240"/>
      <w:jc w:val="center"/>
    </w:pPr>
    <w:rPr>
      <w:b/>
      <w:bCs/>
    </w:rPr>
  </w:style>
  <w:style w:type="paragraph" w:styleId="TOC5">
    <w:name w:val="toc 5"/>
    <w:aliases w:val="Observation TOC"/>
    <w:basedOn w:val="TOC4"/>
    <w:semiHidden/>
    <w:rsid w:val="0093751B"/>
    <w:pPr>
      <w:tabs>
        <w:tab w:val="right" w:pos="1701"/>
      </w:tabs>
      <w:ind w:left="1701" w:hanging="1701"/>
    </w:pPr>
  </w:style>
  <w:style w:type="paragraph" w:styleId="TOC4">
    <w:name w:val="toc 4"/>
    <w:basedOn w:val="TOC3"/>
    <w:semiHidden/>
    <w:rsid w:val="0093751B"/>
    <w:pPr>
      <w:ind w:left="1418" w:hanging="1418"/>
    </w:pPr>
  </w:style>
  <w:style w:type="paragraph" w:styleId="TOC3">
    <w:name w:val="toc 3"/>
    <w:basedOn w:val="TOC2"/>
    <w:semiHidden/>
    <w:rsid w:val="0093751B"/>
    <w:pPr>
      <w:ind w:left="1134" w:hanging="1134"/>
    </w:pPr>
  </w:style>
  <w:style w:type="paragraph" w:styleId="TOC2">
    <w:name w:val="toc 2"/>
    <w:basedOn w:val="TOC1"/>
    <w:semiHidden/>
    <w:rsid w:val="0093751B"/>
    <w:pPr>
      <w:keepNext w:val="0"/>
      <w:spacing w:before="0"/>
      <w:ind w:left="851" w:hanging="851"/>
    </w:pPr>
    <w:rPr>
      <w:szCs w:val="20"/>
    </w:rPr>
  </w:style>
  <w:style w:type="paragraph" w:styleId="Index2">
    <w:name w:val="index 2"/>
    <w:basedOn w:val="Index1"/>
    <w:semiHidden/>
    <w:rsid w:val="0093751B"/>
    <w:pPr>
      <w:ind w:left="284"/>
    </w:pPr>
  </w:style>
  <w:style w:type="paragraph" w:styleId="Index1">
    <w:name w:val="index 1"/>
    <w:basedOn w:val="Normal"/>
    <w:semiHidden/>
    <w:rsid w:val="0093751B"/>
    <w:pPr>
      <w:keepLines/>
      <w:spacing w:after="0"/>
    </w:pPr>
  </w:style>
  <w:style w:type="paragraph" w:styleId="DocumentMap">
    <w:name w:val="Document Map"/>
    <w:basedOn w:val="Normal"/>
    <w:semiHidden/>
    <w:rsid w:val="0093751B"/>
    <w:pPr>
      <w:shd w:val="clear" w:color="auto" w:fill="000080"/>
    </w:pPr>
    <w:rPr>
      <w:rFonts w:ascii="Tahoma" w:hAnsi="Tahoma" w:cs="Tahoma"/>
    </w:rPr>
  </w:style>
  <w:style w:type="paragraph" w:styleId="ListNumber2">
    <w:name w:val="List Number 2"/>
    <w:basedOn w:val="ListNumber"/>
    <w:rsid w:val="0093751B"/>
    <w:pPr>
      <w:ind w:left="851"/>
    </w:pPr>
  </w:style>
  <w:style w:type="paragraph" w:styleId="ListNumber">
    <w:name w:val="List Number"/>
    <w:basedOn w:val="List"/>
    <w:rsid w:val="0093751B"/>
  </w:style>
  <w:style w:type="paragraph" w:styleId="List">
    <w:name w:val="List"/>
    <w:basedOn w:val="Normal"/>
    <w:rsid w:val="0093751B"/>
    <w:pPr>
      <w:ind w:left="568" w:hanging="284"/>
    </w:pPr>
  </w:style>
  <w:style w:type="paragraph" w:styleId="Header">
    <w:name w:val="header"/>
    <w:rsid w:val="009375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3751B"/>
    <w:rPr>
      <w:b/>
      <w:bCs/>
      <w:position w:val="6"/>
      <w:sz w:val="16"/>
      <w:szCs w:val="16"/>
    </w:rPr>
  </w:style>
  <w:style w:type="paragraph" w:styleId="FootnoteText">
    <w:name w:val="footnote text"/>
    <w:basedOn w:val="Normal"/>
    <w:semiHidden/>
    <w:rsid w:val="0093751B"/>
    <w:pPr>
      <w:keepLines/>
      <w:spacing w:after="0"/>
      <w:ind w:left="454" w:hanging="454"/>
    </w:pPr>
    <w:rPr>
      <w:sz w:val="16"/>
      <w:szCs w:val="16"/>
    </w:rPr>
  </w:style>
  <w:style w:type="paragraph" w:customStyle="1" w:styleId="3GPPHeader">
    <w:name w:val="3GPP_Header"/>
    <w:basedOn w:val="Normal"/>
    <w:rsid w:val="0093751B"/>
    <w:pPr>
      <w:tabs>
        <w:tab w:val="left" w:pos="1701"/>
        <w:tab w:val="right" w:pos="9639"/>
      </w:tabs>
      <w:spacing w:after="240"/>
    </w:pPr>
    <w:rPr>
      <w:b/>
      <w:sz w:val="24"/>
    </w:rPr>
  </w:style>
  <w:style w:type="paragraph" w:styleId="TOC9">
    <w:name w:val="toc 9"/>
    <w:basedOn w:val="TOC8"/>
    <w:semiHidden/>
    <w:rsid w:val="0093751B"/>
    <w:pPr>
      <w:ind w:left="1418" w:hanging="1418"/>
    </w:pPr>
  </w:style>
  <w:style w:type="paragraph" w:styleId="TOC6">
    <w:name w:val="toc 6"/>
    <w:basedOn w:val="TOC5"/>
    <w:next w:val="Normal"/>
    <w:semiHidden/>
    <w:rsid w:val="0093751B"/>
    <w:pPr>
      <w:ind w:left="1985" w:hanging="1985"/>
    </w:pPr>
  </w:style>
  <w:style w:type="paragraph" w:styleId="TOC7">
    <w:name w:val="toc 7"/>
    <w:basedOn w:val="TOC6"/>
    <w:next w:val="Normal"/>
    <w:semiHidden/>
    <w:rsid w:val="0093751B"/>
    <w:pPr>
      <w:ind w:left="2268" w:hanging="2268"/>
    </w:pPr>
  </w:style>
  <w:style w:type="paragraph" w:styleId="ListBullet2">
    <w:name w:val="List Bullet 2"/>
    <w:basedOn w:val="ListBullet"/>
    <w:rsid w:val="0093751B"/>
    <w:pPr>
      <w:numPr>
        <w:numId w:val="6"/>
      </w:numPr>
    </w:pPr>
  </w:style>
  <w:style w:type="paragraph" w:styleId="ListBullet">
    <w:name w:val="List Bullet"/>
    <w:basedOn w:val="BodyText"/>
    <w:rsid w:val="0093751B"/>
    <w:pPr>
      <w:numPr>
        <w:numId w:val="5"/>
      </w:numPr>
    </w:pPr>
  </w:style>
  <w:style w:type="paragraph" w:styleId="ListBullet3">
    <w:name w:val="List Bullet 3"/>
    <w:basedOn w:val="ListBullet2"/>
    <w:rsid w:val="0093751B"/>
    <w:pPr>
      <w:numPr>
        <w:numId w:val="7"/>
      </w:numPr>
    </w:pPr>
  </w:style>
  <w:style w:type="paragraph" w:customStyle="1" w:styleId="EQ">
    <w:name w:val="EQ"/>
    <w:basedOn w:val="Normal"/>
    <w:next w:val="Normal"/>
    <w:rsid w:val="0093751B"/>
    <w:pPr>
      <w:keepLines/>
      <w:tabs>
        <w:tab w:val="center" w:pos="4536"/>
        <w:tab w:val="right" w:pos="9072"/>
      </w:tabs>
      <w:spacing w:after="180"/>
      <w:jc w:val="left"/>
    </w:pPr>
    <w:rPr>
      <w:noProof/>
      <w:lang w:eastAsia="en-US"/>
    </w:rPr>
  </w:style>
  <w:style w:type="paragraph" w:styleId="List2">
    <w:name w:val="List 2"/>
    <w:basedOn w:val="List"/>
    <w:rsid w:val="0093751B"/>
    <w:pPr>
      <w:ind w:left="851"/>
    </w:pPr>
  </w:style>
  <w:style w:type="paragraph" w:styleId="List3">
    <w:name w:val="List 3"/>
    <w:basedOn w:val="List2"/>
    <w:rsid w:val="0093751B"/>
    <w:pPr>
      <w:ind w:left="1135"/>
    </w:pPr>
  </w:style>
  <w:style w:type="paragraph" w:styleId="List4">
    <w:name w:val="List 4"/>
    <w:basedOn w:val="List3"/>
    <w:rsid w:val="0093751B"/>
    <w:pPr>
      <w:ind w:left="1418"/>
    </w:pPr>
  </w:style>
  <w:style w:type="paragraph" w:styleId="List5">
    <w:name w:val="List 5"/>
    <w:basedOn w:val="List4"/>
    <w:rsid w:val="0093751B"/>
    <w:pPr>
      <w:ind w:left="1702"/>
    </w:pPr>
  </w:style>
  <w:style w:type="paragraph" w:customStyle="1" w:styleId="EditorsNote">
    <w:name w:val="Editor's Note"/>
    <w:basedOn w:val="Normal"/>
    <w:rsid w:val="0093751B"/>
    <w:pPr>
      <w:keepLines/>
      <w:spacing w:after="180"/>
      <w:ind w:left="1135" w:hanging="851"/>
      <w:jc w:val="left"/>
    </w:pPr>
    <w:rPr>
      <w:color w:val="FF0000"/>
      <w:lang w:eastAsia="en-US"/>
    </w:rPr>
  </w:style>
  <w:style w:type="paragraph" w:styleId="ListBullet4">
    <w:name w:val="List Bullet 4"/>
    <w:basedOn w:val="ListBullet3"/>
    <w:rsid w:val="0093751B"/>
    <w:pPr>
      <w:numPr>
        <w:numId w:val="8"/>
      </w:numPr>
    </w:pPr>
  </w:style>
  <w:style w:type="paragraph" w:styleId="ListBullet5">
    <w:name w:val="List Bullet 5"/>
    <w:basedOn w:val="ListBullet4"/>
    <w:rsid w:val="0093751B"/>
    <w:pPr>
      <w:numPr>
        <w:numId w:val="4"/>
      </w:numPr>
    </w:pPr>
  </w:style>
  <w:style w:type="paragraph" w:styleId="Footer">
    <w:name w:val="footer"/>
    <w:basedOn w:val="Header"/>
    <w:semiHidden/>
    <w:rsid w:val="0093751B"/>
    <w:pPr>
      <w:jc w:val="center"/>
    </w:pPr>
    <w:rPr>
      <w:i/>
      <w:iCs/>
    </w:rPr>
  </w:style>
  <w:style w:type="paragraph" w:customStyle="1" w:styleId="Reference">
    <w:name w:val="Reference"/>
    <w:basedOn w:val="Normal"/>
    <w:rsid w:val="0093751B"/>
    <w:pPr>
      <w:numPr>
        <w:numId w:val="2"/>
      </w:numPr>
    </w:pPr>
  </w:style>
  <w:style w:type="paragraph" w:styleId="BalloonText">
    <w:name w:val="Balloon Text"/>
    <w:basedOn w:val="Normal"/>
    <w:semiHidden/>
    <w:rsid w:val="0093751B"/>
    <w:rPr>
      <w:rFonts w:ascii="Tahoma" w:hAnsi="Tahoma" w:cs="Tahoma"/>
      <w:sz w:val="16"/>
      <w:szCs w:val="16"/>
    </w:rPr>
  </w:style>
  <w:style w:type="character" w:styleId="PageNumber">
    <w:name w:val="page number"/>
    <w:basedOn w:val="DefaultParagraphFont"/>
    <w:semiHidden/>
    <w:rsid w:val="0093751B"/>
  </w:style>
  <w:style w:type="paragraph" w:styleId="BodyText">
    <w:name w:val="Body Text"/>
    <w:basedOn w:val="Normal"/>
    <w:link w:val="BodyTextChar"/>
    <w:rsid w:val="0093751B"/>
  </w:style>
  <w:style w:type="character" w:styleId="Hyperlink">
    <w:name w:val="Hyperlink"/>
    <w:uiPriority w:val="99"/>
    <w:rsid w:val="0093751B"/>
    <w:rPr>
      <w:color w:val="0000FF"/>
      <w:u w:val="single"/>
      <w:lang w:val="en-GB"/>
    </w:rPr>
  </w:style>
  <w:style w:type="character" w:styleId="FollowedHyperlink">
    <w:name w:val="FollowedHyperlink"/>
    <w:semiHidden/>
    <w:rsid w:val="0093751B"/>
    <w:rPr>
      <w:color w:val="FF0000"/>
      <w:u w:val="single"/>
    </w:rPr>
  </w:style>
  <w:style w:type="character" w:styleId="CommentReference">
    <w:name w:val="annotation reference"/>
    <w:semiHidden/>
    <w:rsid w:val="0093751B"/>
    <w:rPr>
      <w:sz w:val="16"/>
      <w:szCs w:val="16"/>
    </w:rPr>
  </w:style>
  <w:style w:type="paragraph" w:styleId="CommentText">
    <w:name w:val="annotation text"/>
    <w:basedOn w:val="Normal"/>
    <w:semiHidden/>
    <w:rsid w:val="0093751B"/>
  </w:style>
  <w:style w:type="paragraph" w:styleId="CommentSubject">
    <w:name w:val="annotation subject"/>
    <w:basedOn w:val="CommentText"/>
    <w:next w:val="CommentText"/>
    <w:semiHidden/>
    <w:rsid w:val="0093751B"/>
    <w:rPr>
      <w:b/>
      <w:bCs/>
    </w:rPr>
  </w:style>
  <w:style w:type="character" w:customStyle="1" w:styleId="Heading1Char">
    <w:name w:val="Heading 1 Char"/>
    <w:link w:val="Heading1"/>
    <w:rsid w:val="0093751B"/>
    <w:rPr>
      <w:rFonts w:ascii="Arial" w:hAnsi="Arial" w:cs="Arial"/>
      <w:sz w:val="36"/>
      <w:szCs w:val="36"/>
      <w:lang w:val="en-GB" w:eastAsia="zh-CN"/>
    </w:rPr>
  </w:style>
  <w:style w:type="paragraph" w:customStyle="1" w:styleId="B1">
    <w:name w:val="B1"/>
    <w:basedOn w:val="List"/>
    <w:rsid w:val="0093751B"/>
    <w:pPr>
      <w:spacing w:after="180"/>
      <w:jc w:val="left"/>
    </w:pPr>
    <w:rPr>
      <w:lang w:eastAsia="en-US"/>
    </w:rPr>
  </w:style>
  <w:style w:type="paragraph" w:customStyle="1" w:styleId="B2">
    <w:name w:val="B2"/>
    <w:basedOn w:val="List2"/>
    <w:rsid w:val="0093751B"/>
    <w:pPr>
      <w:spacing w:after="180"/>
      <w:jc w:val="left"/>
    </w:pPr>
    <w:rPr>
      <w:lang w:eastAsia="en-US"/>
    </w:rPr>
  </w:style>
  <w:style w:type="paragraph" w:customStyle="1" w:styleId="B3">
    <w:name w:val="B3"/>
    <w:basedOn w:val="List3"/>
    <w:rsid w:val="0093751B"/>
    <w:pPr>
      <w:spacing w:after="180"/>
      <w:jc w:val="left"/>
    </w:pPr>
    <w:rPr>
      <w:lang w:eastAsia="en-US"/>
    </w:rPr>
  </w:style>
  <w:style w:type="paragraph" w:customStyle="1" w:styleId="B4">
    <w:name w:val="B4"/>
    <w:basedOn w:val="List4"/>
    <w:rsid w:val="0093751B"/>
    <w:pPr>
      <w:spacing w:after="180"/>
      <w:jc w:val="left"/>
    </w:pPr>
    <w:rPr>
      <w:lang w:eastAsia="en-US"/>
    </w:rPr>
  </w:style>
  <w:style w:type="paragraph" w:customStyle="1" w:styleId="Proposal">
    <w:name w:val="Proposal"/>
    <w:basedOn w:val="Normal"/>
    <w:rsid w:val="0093751B"/>
    <w:pPr>
      <w:numPr>
        <w:numId w:val="3"/>
      </w:numPr>
      <w:tabs>
        <w:tab w:val="clear" w:pos="1304"/>
        <w:tab w:val="left" w:pos="1701"/>
      </w:tabs>
      <w:ind w:left="1701" w:hanging="1701"/>
    </w:pPr>
    <w:rPr>
      <w:b/>
      <w:bCs/>
    </w:rPr>
  </w:style>
  <w:style w:type="character" w:customStyle="1" w:styleId="BodyTextChar">
    <w:name w:val="Body Text Char"/>
    <w:link w:val="BodyText"/>
    <w:rsid w:val="0093751B"/>
    <w:rPr>
      <w:rFonts w:ascii="Arial" w:hAnsi="Arial"/>
      <w:lang w:val="en-GB" w:eastAsia="zh-CN"/>
    </w:rPr>
  </w:style>
  <w:style w:type="paragraph" w:customStyle="1" w:styleId="B5">
    <w:name w:val="B5"/>
    <w:basedOn w:val="List5"/>
    <w:rsid w:val="0093751B"/>
    <w:pPr>
      <w:spacing w:after="180"/>
      <w:jc w:val="left"/>
    </w:pPr>
    <w:rPr>
      <w:lang w:eastAsia="en-US"/>
    </w:rPr>
  </w:style>
  <w:style w:type="paragraph" w:customStyle="1" w:styleId="EX">
    <w:name w:val="EX"/>
    <w:basedOn w:val="Normal"/>
    <w:rsid w:val="0093751B"/>
    <w:pPr>
      <w:keepLines/>
      <w:spacing w:after="180"/>
      <w:ind w:left="1702" w:hanging="1418"/>
      <w:jc w:val="left"/>
    </w:pPr>
    <w:rPr>
      <w:lang w:eastAsia="en-US"/>
    </w:rPr>
  </w:style>
  <w:style w:type="paragraph" w:customStyle="1" w:styleId="EW">
    <w:name w:val="EW"/>
    <w:basedOn w:val="EX"/>
    <w:rsid w:val="0093751B"/>
    <w:pPr>
      <w:spacing w:after="0"/>
    </w:pPr>
  </w:style>
  <w:style w:type="paragraph" w:customStyle="1" w:styleId="TAL">
    <w:name w:val="TAL"/>
    <w:basedOn w:val="Normal"/>
    <w:rsid w:val="0093751B"/>
    <w:pPr>
      <w:keepNext/>
      <w:keepLines/>
      <w:spacing w:after="0"/>
      <w:jc w:val="left"/>
    </w:pPr>
    <w:rPr>
      <w:sz w:val="18"/>
      <w:lang w:eastAsia="en-US"/>
    </w:rPr>
  </w:style>
  <w:style w:type="paragraph" w:customStyle="1" w:styleId="TAC">
    <w:name w:val="TAC"/>
    <w:basedOn w:val="TAL"/>
    <w:rsid w:val="0093751B"/>
    <w:pPr>
      <w:jc w:val="center"/>
    </w:pPr>
  </w:style>
  <w:style w:type="paragraph" w:customStyle="1" w:styleId="TAH">
    <w:name w:val="TAH"/>
    <w:basedOn w:val="TAC"/>
    <w:rsid w:val="0093751B"/>
    <w:rPr>
      <w:b/>
    </w:rPr>
  </w:style>
  <w:style w:type="paragraph" w:customStyle="1" w:styleId="TAN">
    <w:name w:val="TAN"/>
    <w:basedOn w:val="TAL"/>
    <w:rsid w:val="0093751B"/>
    <w:pPr>
      <w:ind w:left="851" w:hanging="851"/>
    </w:pPr>
  </w:style>
  <w:style w:type="paragraph" w:customStyle="1" w:styleId="TAR">
    <w:name w:val="TAR"/>
    <w:basedOn w:val="TAL"/>
    <w:rsid w:val="0093751B"/>
    <w:pPr>
      <w:jc w:val="right"/>
    </w:pPr>
  </w:style>
  <w:style w:type="paragraph" w:customStyle="1" w:styleId="TH">
    <w:name w:val="TH"/>
    <w:basedOn w:val="Normal"/>
    <w:rsid w:val="0093751B"/>
    <w:pPr>
      <w:keepNext/>
      <w:keepLines/>
      <w:spacing w:before="60" w:after="180"/>
      <w:jc w:val="center"/>
    </w:pPr>
    <w:rPr>
      <w:b/>
      <w:lang w:eastAsia="en-US"/>
    </w:rPr>
  </w:style>
  <w:style w:type="paragraph" w:customStyle="1" w:styleId="TF">
    <w:name w:val="TF"/>
    <w:basedOn w:val="TH"/>
    <w:rsid w:val="0093751B"/>
    <w:pPr>
      <w:keepNext w:val="0"/>
      <w:spacing w:before="0" w:after="240"/>
    </w:pPr>
  </w:style>
  <w:style w:type="paragraph" w:customStyle="1" w:styleId="TT">
    <w:name w:val="TT"/>
    <w:basedOn w:val="Heading1"/>
    <w:next w:val="Normal"/>
    <w:rsid w:val="0093751B"/>
    <w:pPr>
      <w:numPr>
        <w:numId w:val="0"/>
      </w:numPr>
      <w:ind w:left="1134" w:hanging="1134"/>
      <w:outlineLvl w:val="9"/>
    </w:pPr>
    <w:rPr>
      <w:rFonts w:cs="Times New Roman"/>
      <w:szCs w:val="20"/>
      <w:lang w:eastAsia="en-US"/>
    </w:rPr>
  </w:style>
  <w:style w:type="paragraph" w:customStyle="1" w:styleId="ZA">
    <w:name w:val="ZA"/>
    <w:rsid w:val="009375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75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75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375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3751B"/>
  </w:style>
  <w:style w:type="paragraph" w:customStyle="1" w:styleId="ZH">
    <w:name w:val="ZH"/>
    <w:rsid w:val="009375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375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3751B"/>
    <w:pPr>
      <w:framePr w:hRule="auto" w:wrap="notBeside" w:y="852"/>
    </w:pPr>
    <w:rPr>
      <w:i w:val="0"/>
      <w:sz w:val="40"/>
    </w:rPr>
  </w:style>
  <w:style w:type="paragraph" w:customStyle="1" w:styleId="ZU">
    <w:name w:val="ZU"/>
    <w:rsid w:val="009375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751B"/>
    <w:pPr>
      <w:framePr w:wrap="notBeside" w:y="16161"/>
    </w:pPr>
  </w:style>
  <w:style w:type="paragraph" w:customStyle="1" w:styleId="FP">
    <w:name w:val="FP"/>
    <w:basedOn w:val="Normal"/>
    <w:rsid w:val="0093751B"/>
    <w:pPr>
      <w:spacing w:after="0"/>
      <w:jc w:val="left"/>
    </w:pPr>
    <w:rPr>
      <w:lang w:eastAsia="en-US"/>
    </w:rPr>
  </w:style>
  <w:style w:type="paragraph" w:customStyle="1" w:styleId="Observation">
    <w:name w:val="Observation"/>
    <w:basedOn w:val="Proposal"/>
    <w:qFormat/>
    <w:rsid w:val="0093751B"/>
    <w:pPr>
      <w:numPr>
        <w:numId w:val="13"/>
      </w:numPr>
      <w:ind w:left="1701" w:hanging="1701"/>
    </w:pPr>
  </w:style>
  <w:style w:type="paragraph" w:styleId="TableofFigures">
    <w:name w:val="table of figures"/>
    <w:basedOn w:val="Normal"/>
    <w:next w:val="Normal"/>
    <w:uiPriority w:val="99"/>
    <w:rsid w:val="0093751B"/>
    <w:pPr>
      <w:ind w:left="1418" w:hanging="1418"/>
      <w:jc w:val="left"/>
    </w:pPr>
    <w:rPr>
      <w:b/>
    </w:rPr>
  </w:style>
  <w:style w:type="paragraph" w:customStyle="1" w:styleId="Doc-text2">
    <w:name w:val="Doc-text2"/>
    <w:basedOn w:val="Normal"/>
    <w:link w:val="Doc-text2Char"/>
    <w:qFormat/>
    <w:rsid w:val="009375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3751B"/>
    <w:rPr>
      <w:rFonts w:ascii="Arial" w:eastAsia="MS Mincho" w:hAnsi="Arial"/>
      <w:szCs w:val="24"/>
      <w:lang w:val="en-GB" w:eastAsia="en-GB"/>
    </w:rPr>
  </w:style>
  <w:style w:type="paragraph" w:styleId="ListParagraph">
    <w:name w:val="List Paragraph"/>
    <w:basedOn w:val="Normal"/>
    <w:uiPriority w:val="34"/>
    <w:qFormat/>
    <w:rsid w:val="00293088"/>
    <w:pPr>
      <w:ind w:left="720"/>
      <w:contextualSpacing/>
    </w:pPr>
  </w:style>
  <w:style w:type="paragraph" w:styleId="NormalWeb">
    <w:name w:val="Normal (Web)"/>
    <w:basedOn w:val="Normal"/>
    <w:uiPriority w:val="99"/>
    <w:unhideWhenUsed/>
    <w:rsid w:val="008E7AB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2981337">
      <w:bodyDiv w:val="1"/>
      <w:marLeft w:val="0"/>
      <w:marRight w:val="0"/>
      <w:marTop w:val="0"/>
      <w:marBottom w:val="0"/>
      <w:divBdr>
        <w:top w:val="none" w:sz="0" w:space="0" w:color="auto"/>
        <w:left w:val="none" w:sz="0" w:space="0" w:color="auto"/>
        <w:bottom w:val="none" w:sz="0" w:space="0" w:color="auto"/>
        <w:right w:val="none" w:sz="0" w:space="0" w:color="auto"/>
      </w:divBdr>
    </w:div>
    <w:div w:id="10015457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1382039">
      <w:bodyDiv w:val="1"/>
      <w:marLeft w:val="0"/>
      <w:marRight w:val="0"/>
      <w:marTop w:val="0"/>
      <w:marBottom w:val="0"/>
      <w:divBdr>
        <w:top w:val="none" w:sz="0" w:space="0" w:color="auto"/>
        <w:left w:val="none" w:sz="0" w:space="0" w:color="auto"/>
        <w:bottom w:val="none" w:sz="0" w:space="0" w:color="auto"/>
        <w:right w:val="none" w:sz="0" w:space="0" w:color="auto"/>
      </w:divBdr>
      <w:divsChild>
        <w:div w:id="1084494240">
          <w:marLeft w:val="274"/>
          <w:marRight w:val="0"/>
          <w:marTop w:val="115"/>
          <w:marBottom w:val="0"/>
          <w:divBdr>
            <w:top w:val="none" w:sz="0" w:space="0" w:color="auto"/>
            <w:left w:val="none" w:sz="0" w:space="0" w:color="auto"/>
            <w:bottom w:val="none" w:sz="0" w:space="0" w:color="auto"/>
            <w:right w:val="none" w:sz="0" w:space="0" w:color="auto"/>
          </w:divBdr>
        </w:div>
      </w:divsChild>
    </w:div>
    <w:div w:id="120378927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309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5NUHHDQN7SK2-1476151046-15785</_dlc_DocId>
    <_dlc_DocIdUrl xmlns="f166a696-7b5b-4ccd-9f0c-ffde0cceec81">
      <Url>https://ericsson.sharepoint.com/sites/star/_layouts/15/DocIdRedir.aspx?ID=5NUHHDQN7SK2-1476151046-15785</Url>
      <Description>5NUHHDQN7SK2-1476151046-15785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7F5D60-DBBC-4761-ACCA-E79AA619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TotalTime>
  <Pages>6</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Ericsson</cp:lastModifiedBy>
  <cp:revision>5</cp:revision>
  <cp:lastPrinted>2018-01-11T09:01:00Z</cp:lastPrinted>
  <dcterms:created xsi:type="dcterms:W3CDTF">2018-01-11T22:00:00Z</dcterms:created>
  <dcterms:modified xsi:type="dcterms:W3CDTF">2018-01-12T01:24:00Z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01b12f4d-16d8-4412-845d-596c72ee0490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